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FCED" w14:textId="06212FEE" w:rsidR="00904784" w:rsidRPr="006C2842" w:rsidRDefault="00F31893" w:rsidP="00F31893">
      <w:pPr>
        <w:pStyle w:val="Title"/>
        <w:tabs>
          <w:tab w:val="left" w:pos="7932"/>
          <w:tab w:val="right" w:pos="8913"/>
        </w:tabs>
        <w:spacing w:line="276" w:lineRule="auto"/>
        <w:jc w:val="left"/>
        <w:rPr>
          <w:rFonts w:asciiTheme="majorBidi" w:hAnsiTheme="majorBidi" w:cstheme="majorBidi"/>
          <w:sz w:val="24"/>
          <w:lang w:val="en-US" w:bidi="ar-IQ"/>
        </w:rPr>
      </w:pPr>
      <w:bookmarkStart w:id="0" w:name="_Hlk78354194"/>
      <w:r>
        <w:rPr>
          <w:rFonts w:asciiTheme="majorBidi" w:hAnsiTheme="majorBidi" w:cstheme="majorBidi"/>
          <w:sz w:val="24"/>
          <w:lang w:val="en-US" w:bidi="ar-IQ"/>
        </w:rPr>
        <w:tab/>
      </w:r>
      <w:r>
        <w:rPr>
          <w:rFonts w:asciiTheme="majorBidi" w:hAnsiTheme="majorBidi" w:cstheme="majorBidi"/>
          <w:sz w:val="24"/>
          <w:lang w:val="en-US" w:bidi="ar-IQ"/>
        </w:rPr>
        <w:tab/>
      </w:r>
      <w:r w:rsidR="006C2842">
        <w:rPr>
          <w:rFonts w:asciiTheme="majorBidi" w:hAnsiTheme="majorBidi" w:cstheme="majorBidi"/>
          <w:noProof/>
          <w:sz w:val="24"/>
          <w:lang w:val="en-US" w:bidi="ar-IQ"/>
        </w:rPr>
        <mc:AlternateContent>
          <mc:Choice Requires="wps">
            <w:drawing>
              <wp:anchor distT="0" distB="0" distL="114300" distR="114300" simplePos="0" relativeHeight="251659264" behindDoc="1" locked="0" layoutInCell="1" allowOverlap="1" wp14:anchorId="24D681E7" wp14:editId="7E79F2DC">
                <wp:simplePos x="0" y="0"/>
                <wp:positionH relativeFrom="page">
                  <wp:posOffset>922020</wp:posOffset>
                </wp:positionH>
                <wp:positionV relativeFrom="paragraph">
                  <wp:posOffset>162560</wp:posOffset>
                </wp:positionV>
                <wp:extent cx="5875020" cy="243840"/>
                <wp:effectExtent l="38100" t="38100" r="106680" b="118110"/>
                <wp:wrapNone/>
                <wp:docPr id="1961395969" name="Rectangle 6"/>
                <wp:cNvGraphicFramePr/>
                <a:graphic xmlns:a="http://schemas.openxmlformats.org/drawingml/2006/main">
                  <a:graphicData uri="http://schemas.microsoft.com/office/word/2010/wordprocessingShape">
                    <wps:wsp>
                      <wps:cNvSpPr/>
                      <wps:spPr>
                        <a:xfrm>
                          <a:off x="0" y="0"/>
                          <a:ext cx="5875020" cy="243840"/>
                        </a:xfrm>
                        <a:prstGeom prst="rect">
                          <a:avLst/>
                        </a:prstGeom>
                        <a:solidFill>
                          <a:schemeClr val="bg1"/>
                        </a:solidFill>
                        <a:ln w="12700">
                          <a:solidFill>
                            <a:schemeClr val="bg1">
                              <a:lumMod val="8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817F0" id="Rectangle 6" o:spid="_x0000_s1026" style="position:absolute;margin-left:72.6pt;margin-top:12.8pt;width:462.6pt;height:1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Za5gIAAGkGAAAOAAAAZHJzL2Uyb0RvYy54bWysVU1v2zAMvQ/YfxB0X22nyZoFdYqgRYcB&#10;XRs0HXpWZDkWJkuaJMfJfv1I2XHSrtth2EWRTPKRfPzI5dWuVmQrnJdG5zQ7SykRmptC6k1Ovz3d&#10;fphS4gPTBVNGi5zuhadX8/fvLls7EyNTGVUIRwBE+1lrc1qFYGdJ4nklaubPjBUahKVxNQvwdJuk&#10;cKwF9FolozT9mLTGFdYZLryHrzedkM4jflkKHh7K0otAVE4hthBPF881nsn8ks02jtlK8j4M9g9R&#10;1ExqcDpA3bDASOPkb1C15M54U4YzburElKXkIuYA2WTpq2xWFbMi5gLkeDvQ5P8fLL/fruzSAQ2t&#10;9TMPV8xiV7oafyE+sotk7QeyxC4QDh8n04tJOgJOOchG4/PpOLKZHK2t8+GzMDXBS04dFCNyxLZ3&#10;PoBHUD2ooDNvlCxupVLxgQ0grpUjWwalW28yLBVYvNBSmrTQdaOLNI3IL4Sxh15CILJq6q+m6GCn&#10;kxQse+CDx9duwKnSaCliP0Hs+DBNEG5VFS1Zq8Y9sgIYSaeARgqJ2Z5Ps+4BzYbxoSPC1AamJChK&#10;nAnPMlSxwkgtQiIZx4wV4987upStWBfvOMIcqQPtGO0QTHydxJkcqxpvYa9EJEE/ipLIAuo46pg7&#10;ZN85YpwLHbJOVLFCdJ+zP/KlEBCRSyjggN0DvI3dpdHro2kX92Dcl/RvxoNF9Gx0GIxrqY17KzMF&#10;WfWeO32g7IQavK5NsV86LFFsfW/5rYTS3DEflszBeoBKwsoLD3CUykAHmv5GSWXcz7e+oz5MLUgp&#10;aWHd5NT/aJgTlKgvGub5UzaG+SEhPsaTCxwsdypZn0p0U18bGIsMlqvl8Yr6QR2upTP1M2zGBXoF&#10;EdMcfOeUB3d4XIduDcJu5WKxiGqwkywLd3plOYIjq9iUT7tn5mw/xgEWwL05rCY2ezXNnS5aarNo&#10;gillHPUjrz3fsM9is/a7Fxfm6TtqHf8h5r8AAAD//wMAUEsDBBQABgAIAAAAIQCvV8c/4QAAAAoB&#10;AAAPAAAAZHJzL2Rvd25yZXYueG1sTI9Ba8JAEIXvBf/DMkJvdbchpjXNRkQo0h4KagV7W7PTJJid&#10;TbNrEv9911N7fMzHe99ky9E0rMfO1ZYkPM4EMKTC6ppKCZ/714dnYM4r0qqxhBKu6GCZT+4ylWo7&#10;0Bb7nS9ZKCGXKgmV923KuSsqNMrNbIsUbt+2M8qH2JVcd2oI5abhkRAJN6qmsFCpFtcVFufdxUg4&#10;+OMbbvpyiNcfP5svu1hc3/dayvvpuHoB5nH0fzDc9IM65MHpZC+kHWtCjudRQCVE8wTYDRBPIgZ2&#10;kpDEAnie8f8v5L8AAAD//wMAUEsBAi0AFAAGAAgAAAAhALaDOJL+AAAA4QEAABMAAAAAAAAAAAAA&#10;AAAAAAAAAFtDb250ZW50X1R5cGVzXS54bWxQSwECLQAUAAYACAAAACEAOP0h/9YAAACUAQAACwAA&#10;AAAAAAAAAAAAAAAvAQAAX3JlbHMvLnJlbHNQSwECLQAUAAYACAAAACEArz+2WuYCAABpBgAADgAA&#10;AAAAAAAAAAAAAAAuAgAAZHJzL2Uyb0RvYy54bWxQSwECLQAUAAYACAAAACEAr1fHP+EAAAAKAQAA&#10;DwAAAAAAAAAAAAAAAABABQAAZHJzL2Rvd25yZXYueG1sUEsFBgAAAAAEAAQA8wAAAE4GAAAAAA==&#10;" fillcolor="white [3212]" strokecolor="#d8d8d8 [2732]" strokeweight="1pt">
                <v:shadow on="t" color="black" opacity="26214f" origin="-.5,-.5" offset=".74836mm,.74836mm"/>
                <w10:wrap anchorx="page"/>
              </v:rect>
            </w:pict>
          </mc:Fallback>
        </mc:AlternateContent>
      </w:r>
    </w:p>
    <w:p w14:paraId="3BF41C14" w14:textId="472482F9" w:rsidR="00C220BF" w:rsidRPr="008E211C" w:rsidRDefault="008E211C" w:rsidP="008A585A">
      <w:pPr>
        <w:pStyle w:val="Title"/>
        <w:spacing w:line="276" w:lineRule="auto"/>
        <w:jc w:val="left"/>
        <w:rPr>
          <w:rFonts w:asciiTheme="majorBidi" w:hAnsiTheme="majorBidi" w:cstheme="majorBidi"/>
          <w:color w:val="00B050"/>
          <w:sz w:val="20"/>
          <w:szCs w:val="20"/>
          <w:lang w:val="en-US" w:bidi="ar-IQ"/>
        </w:rPr>
      </w:pPr>
      <w:r w:rsidRPr="008E211C">
        <w:rPr>
          <w:rFonts w:asciiTheme="majorBidi" w:hAnsiTheme="majorBidi" w:cstheme="majorBidi"/>
          <w:color w:val="00B050"/>
          <w:sz w:val="20"/>
          <w:szCs w:val="20"/>
          <w:lang w:val="en-US" w:bidi="ar-IQ"/>
        </w:rPr>
        <w:t xml:space="preserve">Received on: </w:t>
      </w:r>
      <w:r w:rsidR="009575FD">
        <w:rPr>
          <w:rFonts w:asciiTheme="majorBidi" w:hAnsiTheme="majorBidi" w:cstheme="majorBidi"/>
          <w:color w:val="00B050"/>
          <w:sz w:val="20"/>
          <w:szCs w:val="20"/>
          <w:lang w:val="en-US" w:bidi="ar-IQ"/>
        </w:rPr>
        <w:t>20</w:t>
      </w:r>
      <w:r w:rsidRPr="008E211C">
        <w:rPr>
          <w:rFonts w:asciiTheme="majorBidi" w:hAnsiTheme="majorBidi" w:cstheme="majorBidi"/>
          <w:color w:val="00B050"/>
          <w:sz w:val="20"/>
          <w:szCs w:val="20"/>
          <w:lang w:val="en-US" w:bidi="ar-IQ"/>
        </w:rPr>
        <w:t xml:space="preserve"> </w:t>
      </w:r>
      <w:r w:rsidR="00361D1D">
        <w:rPr>
          <w:rFonts w:asciiTheme="majorBidi" w:hAnsiTheme="majorBidi" w:cstheme="majorBidi"/>
          <w:color w:val="00B050"/>
          <w:sz w:val="20"/>
          <w:szCs w:val="20"/>
          <w:lang w:val="en-US" w:bidi="ar-IQ"/>
        </w:rPr>
        <w:t>January</w:t>
      </w:r>
      <w:r w:rsidRPr="008E211C">
        <w:rPr>
          <w:rFonts w:asciiTheme="majorBidi" w:hAnsiTheme="majorBidi" w:cstheme="majorBidi"/>
          <w:color w:val="00B050"/>
          <w:sz w:val="20"/>
          <w:szCs w:val="20"/>
          <w:lang w:val="en-US" w:bidi="ar-IQ"/>
        </w:rPr>
        <w:t xml:space="preserve"> 202</w:t>
      </w:r>
      <w:r w:rsidR="00361D1D">
        <w:rPr>
          <w:rFonts w:asciiTheme="majorBidi" w:hAnsiTheme="majorBidi" w:cstheme="majorBidi"/>
          <w:color w:val="00B050"/>
          <w:sz w:val="20"/>
          <w:szCs w:val="20"/>
          <w:lang w:val="en-US" w:bidi="ar-IQ"/>
        </w:rPr>
        <w:t>6</w:t>
      </w:r>
      <w:r w:rsidR="009575FD">
        <w:rPr>
          <w:rFonts w:asciiTheme="majorBidi" w:hAnsiTheme="majorBidi" w:cstheme="majorBidi"/>
          <w:color w:val="00B050"/>
          <w:sz w:val="20"/>
          <w:szCs w:val="20"/>
          <w:lang w:val="en-US" w:bidi="ar-IQ"/>
        </w:rPr>
        <w:t xml:space="preserve"> </w:t>
      </w:r>
      <w:r w:rsidRPr="008E211C">
        <w:rPr>
          <w:rFonts w:asciiTheme="majorBidi" w:hAnsiTheme="majorBidi" w:cstheme="majorBidi"/>
          <w:color w:val="00B050"/>
          <w:sz w:val="20"/>
          <w:szCs w:val="20"/>
          <w:lang w:val="en-US" w:bidi="ar-IQ"/>
        </w:rPr>
        <w:t xml:space="preserve"> </w:t>
      </w:r>
      <w:r>
        <w:rPr>
          <w:rFonts w:asciiTheme="majorBidi" w:hAnsiTheme="majorBidi" w:cstheme="majorBidi"/>
          <w:color w:val="00B050"/>
          <w:sz w:val="20"/>
          <w:szCs w:val="20"/>
          <w:lang w:val="en-GB" w:bidi="ar-IQ"/>
        </w:rPr>
        <w:t xml:space="preserve"> </w:t>
      </w:r>
      <w:r w:rsidR="00B93BF4">
        <w:rPr>
          <w:rFonts w:asciiTheme="majorBidi" w:hAnsiTheme="majorBidi" w:cstheme="majorBidi"/>
          <w:color w:val="00B050"/>
          <w:sz w:val="20"/>
          <w:szCs w:val="20"/>
          <w:lang w:val="en-GB" w:bidi="ar-IQ"/>
        </w:rPr>
        <w:t xml:space="preserve">   </w:t>
      </w:r>
      <w:r w:rsidRPr="008E211C">
        <w:rPr>
          <w:rFonts w:asciiTheme="majorBidi" w:hAnsiTheme="majorBidi" w:cstheme="majorBidi"/>
          <w:color w:val="EE0000"/>
          <w:sz w:val="20"/>
          <w:szCs w:val="20"/>
          <w:lang w:val="en-US" w:bidi="ar-IQ"/>
        </w:rPr>
        <w:t>|</w:t>
      </w:r>
      <w:r w:rsidR="00B93BF4">
        <w:rPr>
          <w:rFonts w:asciiTheme="majorBidi" w:hAnsiTheme="majorBidi" w:cstheme="majorBidi"/>
          <w:color w:val="EE0000"/>
          <w:sz w:val="20"/>
          <w:szCs w:val="20"/>
          <w:lang w:val="en-US" w:bidi="ar-IQ"/>
        </w:rPr>
        <w:t xml:space="preserve">   </w:t>
      </w:r>
      <w:r>
        <w:rPr>
          <w:rFonts w:asciiTheme="majorBidi" w:hAnsiTheme="majorBidi" w:cstheme="majorBidi"/>
          <w:color w:val="00B050"/>
          <w:sz w:val="20"/>
          <w:szCs w:val="20"/>
          <w:lang w:val="en-US" w:bidi="ar-IQ"/>
        </w:rPr>
        <w:t xml:space="preserve">  </w:t>
      </w:r>
      <w:r w:rsidRPr="008E211C">
        <w:rPr>
          <w:rFonts w:asciiTheme="majorBidi" w:hAnsiTheme="majorBidi" w:cstheme="majorBidi"/>
          <w:color w:val="00B050"/>
          <w:sz w:val="20"/>
          <w:szCs w:val="20"/>
          <w:lang w:val="en-US" w:bidi="ar-IQ"/>
        </w:rPr>
        <w:t xml:space="preserve"> Accepted on: </w:t>
      </w:r>
      <w:r w:rsidR="009575FD">
        <w:rPr>
          <w:rFonts w:asciiTheme="majorBidi" w:hAnsiTheme="majorBidi" w:cstheme="majorBidi"/>
          <w:color w:val="00B050"/>
          <w:sz w:val="20"/>
          <w:szCs w:val="20"/>
          <w:lang w:val="en-US" w:bidi="ar-IQ"/>
        </w:rPr>
        <w:t>29</w:t>
      </w:r>
      <w:r w:rsidRPr="008E211C">
        <w:rPr>
          <w:rFonts w:asciiTheme="majorBidi" w:hAnsiTheme="majorBidi" w:cstheme="majorBidi"/>
          <w:color w:val="00B050"/>
          <w:sz w:val="20"/>
          <w:szCs w:val="20"/>
          <w:lang w:val="en-US" w:bidi="ar-IQ"/>
        </w:rPr>
        <w:t xml:space="preserve"> </w:t>
      </w:r>
      <w:r w:rsidR="009575FD">
        <w:rPr>
          <w:rFonts w:asciiTheme="majorBidi" w:hAnsiTheme="majorBidi" w:cstheme="majorBidi"/>
          <w:color w:val="00B050"/>
          <w:sz w:val="20"/>
          <w:szCs w:val="20"/>
          <w:lang w:val="en-US" w:bidi="ar-IQ"/>
        </w:rPr>
        <w:t>March</w:t>
      </w:r>
      <w:r w:rsidRPr="008E211C">
        <w:rPr>
          <w:rFonts w:asciiTheme="majorBidi" w:hAnsiTheme="majorBidi" w:cstheme="majorBidi"/>
          <w:color w:val="00B050"/>
          <w:sz w:val="20"/>
          <w:szCs w:val="20"/>
          <w:lang w:val="en-US" w:bidi="ar-IQ"/>
        </w:rPr>
        <w:t xml:space="preserve"> 202</w:t>
      </w:r>
      <w:r w:rsidR="00B93BF4">
        <w:rPr>
          <w:rFonts w:asciiTheme="majorBidi" w:hAnsiTheme="majorBidi" w:cstheme="majorBidi"/>
          <w:color w:val="00B050"/>
          <w:sz w:val="20"/>
          <w:szCs w:val="20"/>
          <w:lang w:val="en-US" w:bidi="ar-IQ"/>
        </w:rPr>
        <w:t>6</w:t>
      </w:r>
      <w:r w:rsidRPr="008E211C">
        <w:rPr>
          <w:rFonts w:asciiTheme="majorBidi" w:hAnsiTheme="majorBidi" w:cstheme="majorBidi"/>
          <w:color w:val="00B050"/>
          <w:sz w:val="20"/>
          <w:szCs w:val="20"/>
          <w:lang w:val="en-US" w:bidi="ar-IQ"/>
        </w:rPr>
        <w:t xml:space="preserve"> </w:t>
      </w:r>
      <w:r>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 xml:space="preserve">   </w:t>
      </w:r>
      <w:r w:rsidRPr="008E211C">
        <w:rPr>
          <w:rFonts w:asciiTheme="majorBidi" w:hAnsiTheme="majorBidi" w:cstheme="majorBidi"/>
          <w:color w:val="EE0000"/>
          <w:sz w:val="20"/>
          <w:szCs w:val="20"/>
          <w:lang w:val="en-US" w:bidi="ar-IQ"/>
        </w:rPr>
        <w:t>|</w:t>
      </w:r>
      <w:r w:rsidR="00B93BF4">
        <w:rPr>
          <w:rFonts w:asciiTheme="majorBidi" w:hAnsiTheme="majorBidi" w:cstheme="majorBidi"/>
          <w:color w:val="EE0000"/>
          <w:sz w:val="20"/>
          <w:szCs w:val="20"/>
          <w:lang w:val="en-US" w:bidi="ar-IQ"/>
        </w:rPr>
        <w:t xml:space="preserve"> </w:t>
      </w:r>
      <w:r w:rsidR="009575FD">
        <w:rPr>
          <w:rFonts w:asciiTheme="majorBidi" w:hAnsiTheme="majorBidi" w:cstheme="majorBidi"/>
          <w:color w:val="EE0000"/>
          <w:sz w:val="20"/>
          <w:szCs w:val="20"/>
          <w:lang w:val="en-US" w:bidi="ar-IQ"/>
        </w:rPr>
        <w:t xml:space="preserve">   </w:t>
      </w:r>
      <w:r>
        <w:rPr>
          <w:rFonts w:asciiTheme="majorBidi" w:hAnsiTheme="majorBidi" w:cstheme="majorBidi"/>
          <w:color w:val="00B050"/>
          <w:sz w:val="20"/>
          <w:szCs w:val="20"/>
          <w:lang w:val="en-US" w:bidi="ar-IQ"/>
        </w:rPr>
        <w:t xml:space="preserve">  </w:t>
      </w:r>
      <w:r w:rsidRPr="008E211C">
        <w:rPr>
          <w:rFonts w:asciiTheme="majorBidi" w:hAnsiTheme="majorBidi" w:cstheme="majorBidi"/>
          <w:color w:val="00B050"/>
          <w:sz w:val="20"/>
          <w:szCs w:val="20"/>
          <w:lang w:val="en-US" w:bidi="ar-IQ"/>
        </w:rPr>
        <w:t xml:space="preserve"> Published on: 31 </w:t>
      </w:r>
      <w:r w:rsidR="00B93BF4">
        <w:rPr>
          <w:rFonts w:asciiTheme="majorBidi" w:hAnsiTheme="majorBidi" w:cstheme="majorBidi"/>
          <w:color w:val="00B050"/>
          <w:sz w:val="20"/>
          <w:szCs w:val="20"/>
          <w:lang w:val="en-US" w:bidi="ar-IQ"/>
        </w:rPr>
        <w:t>March</w:t>
      </w:r>
      <w:r w:rsidRPr="008E211C">
        <w:rPr>
          <w:rFonts w:asciiTheme="majorBidi" w:hAnsiTheme="majorBidi" w:cstheme="majorBidi"/>
          <w:color w:val="00B050"/>
          <w:sz w:val="20"/>
          <w:szCs w:val="20"/>
          <w:lang w:val="en-US" w:bidi="ar-IQ"/>
        </w:rPr>
        <w:t xml:space="preserve"> 202</w:t>
      </w:r>
      <w:r w:rsidR="00B93BF4">
        <w:rPr>
          <w:rFonts w:asciiTheme="majorBidi" w:hAnsiTheme="majorBidi" w:cstheme="majorBidi"/>
          <w:color w:val="00B050"/>
          <w:sz w:val="20"/>
          <w:szCs w:val="20"/>
          <w:lang w:val="en-US" w:bidi="ar-IQ"/>
        </w:rPr>
        <w:t>6</w:t>
      </w:r>
    </w:p>
    <w:p w14:paraId="0567BFBA" w14:textId="33729FAC" w:rsidR="00297AC9" w:rsidRDefault="00297AC9" w:rsidP="005C407E">
      <w:pPr>
        <w:pStyle w:val="Title"/>
        <w:spacing w:line="276" w:lineRule="auto"/>
        <w:rPr>
          <w:rFonts w:asciiTheme="majorBidi" w:hAnsiTheme="majorBidi" w:cstheme="majorBidi"/>
          <w:sz w:val="24"/>
          <w:lang w:val="en-US"/>
        </w:rPr>
      </w:pPr>
    </w:p>
    <w:p w14:paraId="79F1EC98" w14:textId="2C8443D5" w:rsidR="004D78C6" w:rsidRDefault="000F2C3F" w:rsidP="004D78C6">
      <w:pPr>
        <w:pStyle w:val="Title"/>
        <w:tabs>
          <w:tab w:val="left" w:pos="5556"/>
        </w:tabs>
        <w:spacing w:line="276" w:lineRule="auto"/>
        <w:jc w:val="left"/>
        <w:rPr>
          <w:rFonts w:ascii="Garamond" w:hAnsi="Garamond" w:cstheme="majorBidi"/>
          <w:iCs/>
          <w:sz w:val="32"/>
          <w:szCs w:val="32"/>
          <w:lang w:val="en-US"/>
        </w:rPr>
      </w:pPr>
      <w:r>
        <w:rPr>
          <w:rFonts w:ascii="Garamond" w:hAnsi="Garamond" w:cstheme="majorBidi"/>
          <w:iCs/>
          <w:sz w:val="32"/>
          <w:szCs w:val="32"/>
          <w:lang w:val="en-US"/>
        </w:rPr>
        <w:tab/>
      </w:r>
    </w:p>
    <w:p w14:paraId="5CB484C6" w14:textId="0FDACCB5" w:rsidR="00361D1D" w:rsidRPr="00361D1D" w:rsidRDefault="009575FD" w:rsidP="009575FD">
      <w:pPr>
        <w:pStyle w:val="Title"/>
        <w:spacing w:line="276" w:lineRule="auto"/>
        <w:rPr>
          <w:rFonts w:ascii="Garamond" w:hAnsi="Garamond" w:cstheme="majorBidi"/>
          <w:iCs/>
          <w:sz w:val="32"/>
          <w:szCs w:val="32"/>
          <w:lang w:val="en-GB"/>
        </w:rPr>
      </w:pPr>
      <w:r w:rsidRPr="009575FD">
        <w:rPr>
          <w:rFonts w:ascii="Garamond" w:hAnsi="Garamond" w:cstheme="majorBidi"/>
          <w:iCs/>
          <w:sz w:val="32"/>
          <w:szCs w:val="32"/>
          <w:lang w:val="en-GB"/>
        </w:rPr>
        <w:t>Influence of ACE Gene Polymorphism on Heart Rate Dynamics During Submaximal Exercise Following a 3-Month Fartlek Training Program in Male Adolescents</w:t>
      </w:r>
    </w:p>
    <w:p w14:paraId="2BC55960" w14:textId="3069344A" w:rsidR="004D78C6" w:rsidRPr="0007642C" w:rsidRDefault="008F08A2" w:rsidP="0007642C">
      <w:pPr>
        <w:pStyle w:val="Title"/>
        <w:spacing w:line="276" w:lineRule="auto"/>
        <w:rPr>
          <w:rFonts w:ascii="Garamond" w:hAnsi="Garamond" w:cstheme="majorBidi"/>
          <w:iCs/>
          <w:sz w:val="32"/>
          <w:szCs w:val="32"/>
          <w:lang w:val="en-US"/>
        </w:rPr>
      </w:pPr>
      <w:r w:rsidRPr="008F08A2">
        <w:rPr>
          <w:rFonts w:ascii="Garamond" w:hAnsi="Garamond" w:cstheme="majorBidi"/>
          <w:iCs/>
          <w:sz w:val="32"/>
          <w:szCs w:val="32"/>
          <w:lang w:val="en-US"/>
        </w:rPr>
        <w:t xml:space="preserve"> </w:t>
      </w:r>
      <w:bookmarkStart w:id="1" w:name="_Hlk80000582"/>
      <w:bookmarkEnd w:id="0"/>
    </w:p>
    <w:p w14:paraId="74EB3545" w14:textId="77777777" w:rsidR="00BA00B7" w:rsidRDefault="00BA00B7" w:rsidP="00BA00B7">
      <w:pPr>
        <w:pStyle w:val="Title"/>
        <w:spacing w:line="276" w:lineRule="auto"/>
        <w:jc w:val="left"/>
      </w:pPr>
    </w:p>
    <w:p w14:paraId="276DCBCE" w14:textId="3201FCFF" w:rsidR="00BA00B7" w:rsidRPr="00DB5CFD" w:rsidRDefault="00F20B60" w:rsidP="00186FB6">
      <w:pPr>
        <w:pStyle w:val="Title"/>
        <w:spacing w:line="276" w:lineRule="auto"/>
        <w:rPr>
          <w:rFonts w:asciiTheme="majorBidi" w:hAnsiTheme="majorBidi" w:cstheme="majorBidi"/>
          <w:sz w:val="24"/>
          <w:vertAlign w:val="superscript"/>
        </w:rPr>
      </w:pPr>
      <w:r w:rsidRPr="00F20B60">
        <w:rPr>
          <w:rFonts w:asciiTheme="majorBidi" w:hAnsiTheme="majorBidi" w:cstheme="majorBidi"/>
          <w:sz w:val="24"/>
          <w:lang w:val="en-US"/>
        </w:rPr>
        <w:t xml:space="preserve">Fatoni </w:t>
      </w:r>
      <w:proofErr w:type="spellStart"/>
      <w:r w:rsidRPr="00F20B60">
        <w:rPr>
          <w:rFonts w:asciiTheme="majorBidi" w:hAnsiTheme="majorBidi" w:cstheme="majorBidi"/>
          <w:sz w:val="24"/>
          <w:lang w:val="en-US"/>
        </w:rPr>
        <w:t>Fatoni</w:t>
      </w:r>
      <w:proofErr w:type="spellEnd"/>
      <w:r w:rsidR="008E0735">
        <w:rPr>
          <w:rFonts w:asciiTheme="majorBidi" w:hAnsiTheme="majorBidi" w:cstheme="majorBidi"/>
          <w:sz w:val="24"/>
          <w:lang w:val="en-US"/>
        </w:rPr>
        <w:t xml:space="preserve"> </w:t>
      </w:r>
      <w:r>
        <w:rPr>
          <w:rFonts w:asciiTheme="majorBidi" w:hAnsiTheme="majorBidi" w:cstheme="majorBidi"/>
          <w:noProof/>
          <w:sz w:val="24"/>
        </w:rPr>
        <w:drawing>
          <wp:inline distT="0" distB="0" distL="0" distR="0" wp14:anchorId="62DAC2D0" wp14:editId="25336EAB">
            <wp:extent cx="155448" cy="155448"/>
            <wp:effectExtent l="0" t="0" r="0" b="0"/>
            <wp:docPr id="1365227337" name="Graphic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227337" name="Graphic 8">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155448" cy="155448"/>
                    </a:xfrm>
                    <a:prstGeom prst="rect">
                      <a:avLst/>
                    </a:prstGeom>
                  </pic:spPr>
                </pic:pic>
              </a:graphicData>
            </a:graphic>
          </wp:inline>
        </w:drawing>
      </w:r>
      <w:r w:rsidR="0040363F">
        <w:rPr>
          <w:rFonts w:asciiTheme="majorBidi" w:hAnsiTheme="majorBidi" w:cstheme="majorBidi"/>
          <w:sz w:val="24"/>
          <w:lang w:val="en-US"/>
        </w:rPr>
        <w:t xml:space="preserve"> </w:t>
      </w:r>
      <w:proofErr w:type="gramStart"/>
      <w:r w:rsidR="008F08A2">
        <w:rPr>
          <w:rFonts w:asciiTheme="majorBidi" w:hAnsiTheme="majorBidi" w:cstheme="majorBidi"/>
          <w:sz w:val="24"/>
          <w:vertAlign w:val="superscript"/>
          <w:lang w:val="en-US"/>
        </w:rPr>
        <w:t>1</w:t>
      </w:r>
      <w:r>
        <w:rPr>
          <w:rFonts w:asciiTheme="majorBidi" w:hAnsiTheme="majorBidi" w:cstheme="majorBidi"/>
          <w:sz w:val="24"/>
          <w:lang w:val="en-US"/>
        </w:rPr>
        <w:t xml:space="preserve">,  </w:t>
      </w:r>
      <w:r w:rsidRPr="00F20B60">
        <w:rPr>
          <w:rFonts w:asciiTheme="majorBidi" w:hAnsiTheme="majorBidi" w:cstheme="majorBidi"/>
          <w:sz w:val="24"/>
          <w:lang w:val="en-US"/>
        </w:rPr>
        <w:t>Muhammad</w:t>
      </w:r>
      <w:proofErr w:type="gramEnd"/>
      <w:r w:rsidRPr="00F20B60">
        <w:rPr>
          <w:rFonts w:asciiTheme="majorBidi" w:hAnsiTheme="majorBidi" w:cstheme="majorBidi"/>
          <w:sz w:val="24"/>
          <w:lang w:val="en-US"/>
        </w:rPr>
        <w:t xml:space="preserve"> Kamal</w:t>
      </w:r>
      <w:r>
        <w:rPr>
          <w:rFonts w:asciiTheme="majorBidi" w:hAnsiTheme="majorBidi" w:cstheme="majorBidi"/>
          <w:sz w:val="24"/>
          <w:lang w:val="en-US"/>
        </w:rPr>
        <w:t xml:space="preserve"> </w:t>
      </w:r>
      <w:r>
        <w:rPr>
          <w:rFonts w:asciiTheme="majorBidi" w:hAnsiTheme="majorBidi" w:cstheme="majorBidi"/>
          <w:noProof/>
          <w:sz w:val="24"/>
        </w:rPr>
        <w:drawing>
          <wp:inline distT="0" distB="0" distL="0" distR="0" wp14:anchorId="00C2C676" wp14:editId="37B74EC4">
            <wp:extent cx="155448" cy="155448"/>
            <wp:effectExtent l="0" t="0" r="0" b="0"/>
            <wp:docPr id="712123133" name="Graphic 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123133" name="Graphic 8">
                      <a:hlinkClick r:id="rId11"/>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155448" cy="155448"/>
                    </a:xfrm>
                    <a:prstGeom prst="rect">
                      <a:avLst/>
                    </a:prstGeom>
                  </pic:spPr>
                </pic:pic>
              </a:graphicData>
            </a:graphic>
          </wp:inline>
        </w:drawing>
      </w:r>
      <w:r>
        <w:rPr>
          <w:rFonts w:asciiTheme="majorBidi" w:hAnsiTheme="majorBidi" w:cstheme="majorBidi"/>
          <w:sz w:val="24"/>
          <w:lang w:val="en-US"/>
        </w:rPr>
        <w:t xml:space="preserve"> </w:t>
      </w:r>
      <w:r>
        <w:rPr>
          <w:rFonts w:asciiTheme="majorBidi" w:hAnsiTheme="majorBidi" w:cstheme="majorBidi"/>
          <w:sz w:val="24"/>
          <w:vertAlign w:val="superscript"/>
          <w:lang w:val="en-US"/>
        </w:rPr>
        <w:t>2</w:t>
      </w:r>
      <w:r>
        <w:rPr>
          <w:rFonts w:asciiTheme="majorBidi" w:hAnsiTheme="majorBidi" w:cstheme="majorBidi"/>
          <w:sz w:val="24"/>
          <w:lang w:val="en-US"/>
        </w:rPr>
        <w:t>,</w:t>
      </w:r>
      <w:r w:rsidR="00186FB6">
        <w:rPr>
          <w:rFonts w:asciiTheme="majorBidi" w:hAnsiTheme="majorBidi" w:cstheme="majorBidi"/>
          <w:sz w:val="24"/>
          <w:lang w:val="en-US"/>
        </w:rPr>
        <w:t xml:space="preserve"> </w:t>
      </w:r>
      <w:proofErr w:type="spellStart"/>
      <w:r w:rsidR="00186FB6" w:rsidRPr="00186FB6">
        <w:rPr>
          <w:rFonts w:asciiTheme="majorBidi" w:hAnsiTheme="majorBidi" w:cstheme="majorBidi"/>
          <w:sz w:val="24"/>
          <w:lang w:val="en-US"/>
        </w:rPr>
        <w:t>Hasbi</w:t>
      </w:r>
      <w:proofErr w:type="spellEnd"/>
      <w:r w:rsidR="00186FB6" w:rsidRPr="00186FB6">
        <w:rPr>
          <w:rFonts w:asciiTheme="majorBidi" w:hAnsiTheme="majorBidi" w:cstheme="majorBidi"/>
          <w:sz w:val="24"/>
          <w:lang w:val="en-US"/>
        </w:rPr>
        <w:t xml:space="preserve"> </w:t>
      </w:r>
      <w:proofErr w:type="spellStart"/>
      <w:r w:rsidR="00186FB6" w:rsidRPr="00186FB6">
        <w:rPr>
          <w:rFonts w:asciiTheme="majorBidi" w:hAnsiTheme="majorBidi" w:cstheme="majorBidi"/>
          <w:sz w:val="24"/>
          <w:lang w:val="en-US"/>
        </w:rPr>
        <w:t>Asyhari</w:t>
      </w:r>
      <w:proofErr w:type="spellEnd"/>
      <w:r w:rsidR="00186FB6">
        <w:rPr>
          <w:rFonts w:asciiTheme="majorBidi" w:hAnsiTheme="majorBidi" w:cstheme="majorBidi"/>
          <w:sz w:val="24"/>
          <w:lang w:val="en-US"/>
        </w:rPr>
        <w:t xml:space="preserve"> </w:t>
      </w:r>
      <w:r w:rsidR="00186FB6">
        <w:rPr>
          <w:rFonts w:asciiTheme="majorBidi" w:hAnsiTheme="majorBidi" w:cstheme="majorBidi"/>
          <w:noProof/>
          <w:sz w:val="24"/>
        </w:rPr>
        <w:drawing>
          <wp:inline distT="0" distB="0" distL="0" distR="0" wp14:anchorId="0DAE11DC" wp14:editId="07F7635E">
            <wp:extent cx="155448" cy="155448"/>
            <wp:effectExtent l="0" t="0" r="0" b="0"/>
            <wp:docPr id="1631775625" name="Graphic 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775625" name="Graphic 8">
                      <a:hlinkClick r:id="rId12"/>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155448" cy="155448"/>
                    </a:xfrm>
                    <a:prstGeom prst="rect">
                      <a:avLst/>
                    </a:prstGeom>
                  </pic:spPr>
                </pic:pic>
              </a:graphicData>
            </a:graphic>
          </wp:inline>
        </w:drawing>
      </w:r>
      <w:r w:rsidR="00186FB6">
        <w:rPr>
          <w:rFonts w:asciiTheme="majorBidi" w:hAnsiTheme="majorBidi" w:cstheme="majorBidi"/>
          <w:sz w:val="24"/>
          <w:lang w:val="en-US"/>
        </w:rPr>
        <w:t xml:space="preserve"> </w:t>
      </w:r>
      <w:r w:rsidR="00186FB6">
        <w:rPr>
          <w:rFonts w:asciiTheme="majorBidi" w:hAnsiTheme="majorBidi" w:cstheme="majorBidi"/>
          <w:sz w:val="24"/>
          <w:vertAlign w:val="superscript"/>
          <w:lang w:val="en-US"/>
        </w:rPr>
        <w:t>3</w:t>
      </w:r>
      <w:r w:rsidR="00186FB6">
        <w:rPr>
          <w:rFonts w:asciiTheme="majorBidi" w:hAnsiTheme="majorBidi" w:cstheme="majorBidi"/>
          <w:sz w:val="24"/>
          <w:lang w:val="en-US"/>
        </w:rPr>
        <w:t xml:space="preserve">, </w:t>
      </w:r>
      <w:r w:rsidR="00186FB6" w:rsidRPr="00186FB6">
        <w:rPr>
          <w:rFonts w:asciiTheme="majorBidi" w:hAnsiTheme="majorBidi" w:cstheme="majorBidi"/>
          <w:sz w:val="24"/>
          <w:lang w:val="en-US"/>
        </w:rPr>
        <w:t xml:space="preserve">Juhanis </w:t>
      </w:r>
      <w:proofErr w:type="spellStart"/>
      <w:r w:rsidR="00186FB6" w:rsidRPr="00186FB6">
        <w:rPr>
          <w:rFonts w:asciiTheme="majorBidi" w:hAnsiTheme="majorBidi" w:cstheme="majorBidi"/>
          <w:sz w:val="24"/>
          <w:lang w:val="en-US"/>
        </w:rPr>
        <w:t>Juhanis</w:t>
      </w:r>
      <w:proofErr w:type="spellEnd"/>
      <w:r w:rsidR="00186FB6">
        <w:rPr>
          <w:rFonts w:asciiTheme="majorBidi" w:hAnsiTheme="majorBidi" w:cstheme="majorBidi"/>
          <w:sz w:val="24"/>
          <w:lang w:val="en-US"/>
        </w:rPr>
        <w:t xml:space="preserve"> </w:t>
      </w:r>
      <w:r w:rsidR="00186FB6">
        <w:rPr>
          <w:rFonts w:asciiTheme="majorBidi" w:hAnsiTheme="majorBidi" w:cstheme="majorBidi"/>
          <w:noProof/>
          <w:sz w:val="24"/>
        </w:rPr>
        <w:drawing>
          <wp:inline distT="0" distB="0" distL="0" distR="0" wp14:anchorId="2D4EE92C" wp14:editId="48F7D1F9">
            <wp:extent cx="155448" cy="155448"/>
            <wp:effectExtent l="0" t="0" r="0" b="0"/>
            <wp:docPr id="344445591" name="Graphic 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45591" name="Graphic 8">
                      <a:hlinkClick r:id="rId13"/>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155448" cy="155448"/>
                    </a:xfrm>
                    <a:prstGeom prst="rect">
                      <a:avLst/>
                    </a:prstGeom>
                  </pic:spPr>
                </pic:pic>
              </a:graphicData>
            </a:graphic>
          </wp:inline>
        </w:drawing>
      </w:r>
      <w:r w:rsidR="00186FB6">
        <w:rPr>
          <w:rFonts w:asciiTheme="majorBidi" w:hAnsiTheme="majorBidi" w:cstheme="majorBidi"/>
          <w:sz w:val="24"/>
          <w:lang w:val="en-US"/>
        </w:rPr>
        <w:t xml:space="preserve"> </w:t>
      </w:r>
      <w:r w:rsidR="00186FB6">
        <w:rPr>
          <w:rFonts w:asciiTheme="majorBidi" w:hAnsiTheme="majorBidi" w:cstheme="majorBidi"/>
          <w:sz w:val="24"/>
          <w:vertAlign w:val="superscript"/>
          <w:lang w:val="en-US"/>
        </w:rPr>
        <w:t>3</w:t>
      </w:r>
      <w:r w:rsidR="00186FB6">
        <w:rPr>
          <w:rFonts w:asciiTheme="majorBidi" w:hAnsiTheme="majorBidi" w:cstheme="majorBidi"/>
          <w:sz w:val="24"/>
          <w:lang w:val="en-US"/>
        </w:rPr>
        <w:t>,</w:t>
      </w:r>
      <w:r w:rsidR="00A14324">
        <w:rPr>
          <w:rFonts w:asciiTheme="majorBidi" w:hAnsiTheme="majorBidi" w:cstheme="majorBidi"/>
          <w:sz w:val="24"/>
          <w:lang w:val="en-US"/>
        </w:rPr>
        <w:t xml:space="preserve">    </w:t>
      </w:r>
    </w:p>
    <w:bookmarkEnd w:id="1"/>
    <w:p w14:paraId="237C5308" w14:textId="77777777" w:rsidR="00F06C79" w:rsidRDefault="00F06C79" w:rsidP="005C407E">
      <w:pPr>
        <w:spacing w:line="276" w:lineRule="auto"/>
        <w:rPr>
          <w:rFonts w:asciiTheme="majorBidi" w:hAnsiTheme="majorBidi" w:cstheme="majorBidi"/>
          <w:sz w:val="24"/>
          <w:szCs w:val="24"/>
        </w:rPr>
      </w:pPr>
    </w:p>
    <w:p w14:paraId="0A61F1AF" w14:textId="4168912C" w:rsidR="00186FB6" w:rsidRDefault="00361D1D" w:rsidP="00186FB6">
      <w:pPr>
        <w:jc w:val="both"/>
      </w:pPr>
      <w:r w:rsidRPr="00F06C79">
        <w:rPr>
          <w:rFonts w:asciiTheme="majorBidi" w:hAnsiTheme="majorBidi" w:cstheme="majorBidi"/>
          <w:sz w:val="24"/>
          <w:szCs w:val="24"/>
          <w:vertAlign w:val="superscript"/>
        </w:rPr>
        <w:t>1</w:t>
      </w:r>
      <w:r>
        <w:rPr>
          <w:rFonts w:asciiTheme="majorBidi" w:hAnsiTheme="majorBidi" w:cstheme="majorBidi"/>
          <w:sz w:val="24"/>
          <w:szCs w:val="24"/>
          <w:vertAlign w:val="superscript"/>
        </w:rPr>
        <w:t xml:space="preserve"> </w:t>
      </w:r>
      <w:r w:rsidR="00186FB6" w:rsidRPr="00186FB6">
        <w:t>Department of Physical Education, Health and Recreation</w:t>
      </w:r>
      <w:r w:rsidR="00186FB6">
        <w:t xml:space="preserve"> U</w:t>
      </w:r>
      <w:r w:rsidR="00F20B60" w:rsidRPr="00F20B60">
        <w:t>niversitas Negeri Makassar</w:t>
      </w:r>
      <w:r w:rsidR="00F20B60">
        <w:t>, I</w:t>
      </w:r>
      <w:r w:rsidR="00F20B60" w:rsidRPr="00F20B60">
        <w:t>ndon</w:t>
      </w:r>
      <w:r w:rsidR="00186FB6">
        <w:t>e</w:t>
      </w:r>
      <w:r w:rsidR="00F20B60" w:rsidRPr="00F20B60">
        <w:t>sia</w:t>
      </w:r>
      <w:r w:rsidR="00F20B60">
        <w:t>.</w:t>
      </w:r>
    </w:p>
    <w:p w14:paraId="3E4BC472" w14:textId="6EB9A792" w:rsidR="00361D1D" w:rsidRDefault="00186FB6" w:rsidP="00186FB6">
      <w:pPr>
        <w:jc w:val="both"/>
      </w:pPr>
      <w:r>
        <w:t xml:space="preserve">   </w:t>
      </w:r>
      <w:hyperlink r:id="rId14" w:history="1">
        <w:r w:rsidRPr="001C4A4D">
          <w:rPr>
            <w:rStyle w:val="Hyperlink"/>
          </w:rPr>
          <w:t>fatoni@unm.ac.id</w:t>
        </w:r>
      </w:hyperlink>
      <w:r w:rsidR="00F20B60">
        <w:t xml:space="preserve"> </w:t>
      </w:r>
    </w:p>
    <w:p w14:paraId="3465C81E" w14:textId="13A1B9E0" w:rsidR="00F20B60" w:rsidRDefault="00F20B60" w:rsidP="00F20B60">
      <w:pPr>
        <w:jc w:val="both"/>
      </w:pPr>
      <w:r>
        <w:rPr>
          <w:rFonts w:asciiTheme="majorBidi" w:hAnsiTheme="majorBidi" w:cstheme="majorBidi"/>
          <w:sz w:val="24"/>
          <w:szCs w:val="24"/>
          <w:vertAlign w:val="superscript"/>
        </w:rPr>
        <w:t xml:space="preserve">2 </w:t>
      </w:r>
      <w:r w:rsidRPr="00F20B60">
        <w:t>Department of Physical Education Health and Recreation</w:t>
      </w:r>
      <w:r>
        <w:t xml:space="preserve">, </w:t>
      </w:r>
      <w:r w:rsidRPr="00F20B60">
        <w:t>Universitas Negeri Makassar</w:t>
      </w:r>
      <w:r>
        <w:t>, I</w:t>
      </w:r>
      <w:r w:rsidRPr="00F20B60">
        <w:t>ndon</w:t>
      </w:r>
      <w:r w:rsidR="00186FB6">
        <w:t>e</w:t>
      </w:r>
      <w:r w:rsidRPr="00F20B60">
        <w:t>sia</w:t>
      </w:r>
      <w:r>
        <w:t>.</w:t>
      </w:r>
    </w:p>
    <w:p w14:paraId="1C22D8D4" w14:textId="7DD24824" w:rsidR="00F20B60" w:rsidRDefault="00F20B60" w:rsidP="00F20B60">
      <w:pPr>
        <w:jc w:val="both"/>
        <w:rPr>
          <w:sz w:val="24"/>
          <w:szCs w:val="24"/>
        </w:rPr>
      </w:pPr>
      <w:r>
        <w:t xml:space="preserve">   </w:t>
      </w:r>
      <w:hyperlink r:id="rId15" w:history="1">
        <w:r w:rsidR="00983A86" w:rsidRPr="005E68E6">
          <w:rPr>
            <w:rStyle w:val="Hyperlink"/>
          </w:rPr>
          <w:t>kamal212@unm.ac.id</w:t>
        </w:r>
      </w:hyperlink>
      <w:r w:rsidR="00983A86">
        <w:rPr>
          <w:rFonts w:hint="cs"/>
          <w:rtl/>
        </w:rPr>
        <w:t xml:space="preserve"> </w:t>
      </w:r>
    </w:p>
    <w:p w14:paraId="009112AC" w14:textId="12637324" w:rsidR="00186FB6" w:rsidRDefault="00186FB6" w:rsidP="00186FB6">
      <w:pPr>
        <w:jc w:val="both"/>
      </w:pPr>
      <w:r>
        <w:rPr>
          <w:rFonts w:asciiTheme="majorBidi" w:hAnsiTheme="majorBidi" w:cstheme="majorBidi"/>
          <w:sz w:val="24"/>
          <w:szCs w:val="24"/>
          <w:vertAlign w:val="superscript"/>
        </w:rPr>
        <w:t xml:space="preserve">3 </w:t>
      </w:r>
      <w:r w:rsidRPr="00F20B60">
        <w:t>Department of Physical Education Health and Recreation</w:t>
      </w:r>
      <w:r>
        <w:t xml:space="preserve">, </w:t>
      </w:r>
      <w:r w:rsidRPr="00F20B60">
        <w:t>Universitas Negeri Makassar</w:t>
      </w:r>
      <w:r>
        <w:t>, I</w:t>
      </w:r>
      <w:r w:rsidRPr="00F20B60">
        <w:t>ndonesia</w:t>
      </w:r>
      <w:r>
        <w:t>.</w:t>
      </w:r>
    </w:p>
    <w:p w14:paraId="5885FDD1" w14:textId="2250C29C" w:rsidR="00186FB6" w:rsidRDefault="00186FB6" w:rsidP="00186FB6">
      <w:pPr>
        <w:jc w:val="both"/>
        <w:rPr>
          <w:sz w:val="24"/>
          <w:szCs w:val="24"/>
        </w:rPr>
      </w:pPr>
      <w:r>
        <w:t xml:space="preserve">   </w:t>
      </w:r>
      <w:hyperlink r:id="rId16" w:history="1">
        <w:r w:rsidRPr="001C4A4D">
          <w:rPr>
            <w:rStyle w:val="Hyperlink"/>
          </w:rPr>
          <w:t>hasbi.asyhari@unm.ac.id</w:t>
        </w:r>
      </w:hyperlink>
      <w:r>
        <w:t xml:space="preserve">   </w:t>
      </w:r>
    </w:p>
    <w:p w14:paraId="32DC9432" w14:textId="0EBC6CCD" w:rsidR="00186FB6" w:rsidRDefault="00186FB6" w:rsidP="00186FB6">
      <w:pPr>
        <w:jc w:val="both"/>
      </w:pPr>
      <w:r>
        <w:rPr>
          <w:rFonts w:asciiTheme="majorBidi" w:hAnsiTheme="majorBidi" w:cstheme="majorBidi"/>
          <w:sz w:val="24"/>
          <w:szCs w:val="24"/>
          <w:vertAlign w:val="superscript"/>
        </w:rPr>
        <w:t xml:space="preserve">4 </w:t>
      </w:r>
      <w:r w:rsidRPr="00F20B60">
        <w:t>Department of Physical Education Health and Recreation</w:t>
      </w:r>
      <w:r>
        <w:t xml:space="preserve">, </w:t>
      </w:r>
      <w:r w:rsidRPr="00F20B60">
        <w:t>Universitas Negeri Makassar</w:t>
      </w:r>
      <w:r>
        <w:t>, I</w:t>
      </w:r>
      <w:r w:rsidRPr="00F20B60">
        <w:t>ndonesia</w:t>
      </w:r>
      <w:r>
        <w:t>.</w:t>
      </w:r>
    </w:p>
    <w:p w14:paraId="532E1D93" w14:textId="26F53E30" w:rsidR="00186FB6" w:rsidRDefault="00186FB6" w:rsidP="00186FB6">
      <w:pPr>
        <w:jc w:val="both"/>
        <w:rPr>
          <w:sz w:val="24"/>
          <w:szCs w:val="24"/>
        </w:rPr>
      </w:pPr>
      <w:r>
        <w:t xml:space="preserve">   </w:t>
      </w:r>
      <w:hyperlink r:id="rId17" w:history="1">
        <w:r w:rsidR="00983A86" w:rsidRPr="005E68E6">
          <w:rPr>
            <w:rStyle w:val="Hyperlink"/>
          </w:rPr>
          <w:t>juhanis@unm.ac.id</w:t>
        </w:r>
      </w:hyperlink>
      <w:r w:rsidR="00983A86">
        <w:rPr>
          <w:rFonts w:hint="cs"/>
          <w:rtl/>
        </w:rPr>
        <w:t xml:space="preserve"> </w:t>
      </w:r>
    </w:p>
    <w:p w14:paraId="75AB9915" w14:textId="77777777" w:rsidR="00F20B60" w:rsidRDefault="00F20B60" w:rsidP="00F20B60">
      <w:pPr>
        <w:jc w:val="both"/>
        <w:rPr>
          <w:sz w:val="24"/>
          <w:szCs w:val="24"/>
        </w:rPr>
      </w:pPr>
    </w:p>
    <w:p w14:paraId="1BB89004" w14:textId="7BBC220D" w:rsidR="00361D1D" w:rsidRPr="00361D1D" w:rsidRDefault="00361D1D" w:rsidP="00361D1D">
      <w:pPr>
        <w:spacing w:line="276" w:lineRule="auto"/>
        <w:jc w:val="both"/>
      </w:pPr>
      <w:r>
        <w:t xml:space="preserve"> </w:t>
      </w:r>
    </w:p>
    <w:p w14:paraId="5DD004C7" w14:textId="0DE1786B" w:rsidR="00AD5713" w:rsidRPr="006948CD" w:rsidRDefault="007E126E" w:rsidP="00B93BF4">
      <w:pPr>
        <w:spacing w:line="276" w:lineRule="auto"/>
        <w:jc w:val="both"/>
        <w:rPr>
          <w:sz w:val="24"/>
          <w:szCs w:val="24"/>
        </w:rPr>
      </w:pPr>
      <w:r>
        <w:t>‬</w:t>
      </w:r>
      <w:r>
        <w:t>‬</w:t>
      </w:r>
    </w:p>
    <w:tbl>
      <w:tblPr>
        <w:tblStyle w:val="TableGridLight"/>
        <w:tblW w:w="9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9113"/>
      </w:tblGrid>
      <w:tr w:rsidR="00CD304C" w:rsidRPr="00DA40B6" w14:paraId="513CAD48" w14:textId="77777777" w:rsidTr="00B22FFF">
        <w:trPr>
          <w:trHeight w:val="287"/>
        </w:trPr>
        <w:tc>
          <w:tcPr>
            <w:tcW w:w="9113" w:type="dxa"/>
            <w:tcBorders>
              <w:bottom w:val="double" w:sz="4" w:space="0" w:color="EE0000"/>
            </w:tcBorders>
          </w:tcPr>
          <w:p w14:paraId="7B74F735" w14:textId="70B0C8BB" w:rsidR="00CD304C" w:rsidRPr="005F6936" w:rsidRDefault="00CD304C" w:rsidP="00103106">
            <w:pPr>
              <w:spacing w:before="120" w:line="276" w:lineRule="auto"/>
              <w:rPr>
                <w:rFonts w:asciiTheme="majorBidi" w:hAnsiTheme="majorBidi" w:cstheme="majorBidi"/>
                <w:b/>
                <w:bCs/>
                <w:i/>
                <w:color w:val="000000"/>
              </w:rPr>
            </w:pPr>
            <w:r w:rsidRPr="005F6936">
              <w:rPr>
                <w:rFonts w:asciiTheme="majorBidi" w:hAnsiTheme="majorBidi" w:cstheme="majorBidi"/>
                <w:b/>
                <w:bCs/>
                <w:i/>
                <w:color w:val="000000"/>
                <w:sz w:val="24"/>
                <w:szCs w:val="24"/>
              </w:rPr>
              <w:t>ABSTRACT</w:t>
            </w:r>
          </w:p>
        </w:tc>
      </w:tr>
      <w:tr w:rsidR="00317D5C" w:rsidRPr="00DA40B6" w14:paraId="66C69584" w14:textId="77777777" w:rsidTr="00186FB6">
        <w:trPr>
          <w:trHeight w:val="710"/>
        </w:trPr>
        <w:tc>
          <w:tcPr>
            <w:tcW w:w="9113" w:type="dxa"/>
            <w:tcBorders>
              <w:top w:val="double" w:sz="4" w:space="0" w:color="EE0000"/>
              <w:bottom w:val="single" w:sz="4" w:space="0" w:color="EE0000"/>
            </w:tcBorders>
            <w:shd w:val="clear" w:color="auto" w:fill="F2F2F2" w:themeFill="background1" w:themeFillShade="F2"/>
          </w:tcPr>
          <w:p w14:paraId="274FA64C" w14:textId="77777777" w:rsidR="00186FB6" w:rsidRPr="00BE09CA" w:rsidRDefault="00186FB6" w:rsidP="00E5316B">
            <w:pPr>
              <w:spacing w:after="120"/>
              <w:jc w:val="both"/>
              <w:rPr>
                <w:rStyle w:val="Strong"/>
                <w:b w:val="0"/>
                <w:bCs w:val="0"/>
                <w:sz w:val="24"/>
                <w:szCs w:val="24"/>
              </w:rPr>
            </w:pPr>
            <w:r w:rsidRPr="00BE09CA">
              <w:rPr>
                <w:rStyle w:val="Strong"/>
                <w:b w:val="0"/>
                <w:bCs w:val="0"/>
                <w:sz w:val="24"/>
                <w:szCs w:val="24"/>
              </w:rPr>
              <w:t>Objective: This study aims to analyze the effect of angiotensin-converting enzyme (ACE) gene polymorphism on heart rate dynamics during submaximal exercise in male adolescents after participating in a fartlek exercise program for 3 months.</w:t>
            </w:r>
          </w:p>
          <w:p w14:paraId="35AB84A2" w14:textId="77777777" w:rsidR="00186FB6" w:rsidRPr="00BE09CA" w:rsidRDefault="00186FB6" w:rsidP="00E5316B">
            <w:pPr>
              <w:spacing w:after="120"/>
              <w:jc w:val="both"/>
              <w:rPr>
                <w:rStyle w:val="Strong"/>
                <w:b w:val="0"/>
                <w:bCs w:val="0"/>
                <w:sz w:val="24"/>
                <w:szCs w:val="24"/>
              </w:rPr>
            </w:pPr>
            <w:r w:rsidRPr="00BE09CA">
              <w:rPr>
                <w:rStyle w:val="Strong"/>
                <w:b w:val="0"/>
                <w:bCs w:val="0"/>
                <w:sz w:val="24"/>
                <w:szCs w:val="24"/>
              </w:rPr>
              <w:t>Methods: This quantitative experimental study involved 59 healthy male adolescents aged 13–15 years who participated in a structured fartlek training program for 12 weeks. ACE genotypes were determined using polymerase chain reaction (PCR) and classified into ACE II and non-II (ID/DD) groups. Heart rate was measured every minute during 6 minutes of submaximal stationary cycling exercise before and after the intervention. Statistical analyses were performed using paired t-tests and independent t-tests at a significance level of p &lt; 0.05.</w:t>
            </w:r>
          </w:p>
          <w:p w14:paraId="100C03B9" w14:textId="77777777" w:rsidR="00186FB6" w:rsidRPr="00BE09CA" w:rsidRDefault="00186FB6" w:rsidP="00E5316B">
            <w:pPr>
              <w:spacing w:after="120"/>
              <w:jc w:val="both"/>
              <w:rPr>
                <w:rStyle w:val="Strong"/>
                <w:b w:val="0"/>
                <w:bCs w:val="0"/>
                <w:sz w:val="24"/>
                <w:szCs w:val="24"/>
              </w:rPr>
            </w:pPr>
            <w:r w:rsidRPr="00BE09CA">
              <w:rPr>
                <w:rStyle w:val="Strong"/>
                <w:b w:val="0"/>
                <w:bCs w:val="0"/>
                <w:sz w:val="24"/>
                <w:szCs w:val="24"/>
              </w:rPr>
              <w:t>Results: After the intervention, there was a significant decrease in heart rate across all minutes of exercise in both genotype groups (p &lt; 0.001). The group with the ACE II genotype showed a greater decrease in heart rate than the non-II group, indicating more efficient cardiovascular adaptation to endurance-based exercise.</w:t>
            </w:r>
          </w:p>
          <w:p w14:paraId="24454F2C" w14:textId="77777777" w:rsidR="00186FB6" w:rsidRDefault="00186FB6" w:rsidP="00E5316B">
            <w:pPr>
              <w:spacing w:line="276" w:lineRule="auto"/>
              <w:jc w:val="both"/>
              <w:rPr>
                <w:rStyle w:val="Strong"/>
                <w:b w:val="0"/>
                <w:bCs w:val="0"/>
                <w:sz w:val="24"/>
                <w:szCs w:val="24"/>
              </w:rPr>
            </w:pPr>
            <w:r w:rsidRPr="00BE09CA">
              <w:rPr>
                <w:rStyle w:val="Strong"/>
                <w:b w:val="0"/>
                <w:bCs w:val="0"/>
                <w:sz w:val="24"/>
                <w:szCs w:val="24"/>
              </w:rPr>
              <w:t>Conclusion: ACE gene polymorphisms influence heart rate dynamics during submaximal exercise in adolescent boys after fartlek training. ACE II genotype is associated with higher cardiovascular efficiency, confirming the role of genetic variation as a biological modulator of adaptive responses to exercise.</w:t>
            </w:r>
          </w:p>
          <w:p w14:paraId="647B3C56" w14:textId="7781E8E6" w:rsidR="00317D5C" w:rsidRPr="00F26AEE" w:rsidRDefault="00F10EDB" w:rsidP="00E5316B">
            <w:pPr>
              <w:spacing w:line="276" w:lineRule="auto"/>
              <w:jc w:val="both"/>
              <w:rPr>
                <w:sz w:val="24"/>
                <w:szCs w:val="24"/>
                <w:lang w:val="en-GB"/>
              </w:rPr>
            </w:pPr>
            <w:r w:rsidRPr="00F26AEE">
              <w:rPr>
                <w:b/>
                <w:bCs/>
                <w:sz w:val="24"/>
                <w:szCs w:val="24"/>
                <w:lang w:val="en-GB"/>
              </w:rPr>
              <w:lastRenderedPageBreak/>
              <w:t>Keywords</w:t>
            </w:r>
            <w:r w:rsidRPr="00F26AEE">
              <w:rPr>
                <w:sz w:val="24"/>
                <w:szCs w:val="24"/>
                <w:lang w:val="en-GB"/>
              </w:rPr>
              <w:t xml:space="preserve">: </w:t>
            </w:r>
            <w:r w:rsidR="00186FB6" w:rsidRPr="00BE09CA">
              <w:rPr>
                <w:sz w:val="24"/>
                <w:szCs w:val="24"/>
              </w:rPr>
              <w:t>ACE gene polymorphism; heart rate dynamics; submaximal exercise; endurance-based training; adolescents</w:t>
            </w:r>
          </w:p>
        </w:tc>
      </w:tr>
      <w:tr w:rsidR="007F286F" w:rsidRPr="00DA40B6" w14:paraId="294A13ED" w14:textId="77777777" w:rsidTr="00B22FFF">
        <w:trPr>
          <w:trHeight w:val="103"/>
        </w:trPr>
        <w:tc>
          <w:tcPr>
            <w:tcW w:w="9113" w:type="dxa"/>
            <w:tcBorders>
              <w:top w:val="single" w:sz="4" w:space="0" w:color="EE0000"/>
              <w:bottom w:val="single" w:sz="4" w:space="0" w:color="EE0000"/>
            </w:tcBorders>
          </w:tcPr>
          <w:p w14:paraId="524120E4" w14:textId="77777777" w:rsidR="005F72B7" w:rsidRPr="00046478" w:rsidRDefault="007F286F" w:rsidP="00103106">
            <w:pPr>
              <w:spacing w:line="276" w:lineRule="auto"/>
              <w:rPr>
                <w:rFonts w:asciiTheme="majorBidi" w:hAnsiTheme="majorBidi" w:cstheme="majorBidi"/>
                <w:b/>
                <w:i/>
                <w:sz w:val="24"/>
                <w:szCs w:val="24"/>
              </w:rPr>
            </w:pPr>
            <w:r w:rsidRPr="00046478">
              <w:rPr>
                <w:rFonts w:asciiTheme="majorBidi" w:hAnsiTheme="majorBidi" w:cstheme="majorBidi"/>
                <w:b/>
                <w:i/>
                <w:sz w:val="24"/>
                <w:szCs w:val="24"/>
              </w:rPr>
              <w:lastRenderedPageBreak/>
              <w:t>Corresponding Author</w:t>
            </w:r>
            <w:r w:rsidR="005F72B7" w:rsidRPr="00046478">
              <w:rPr>
                <w:rFonts w:asciiTheme="majorBidi" w:hAnsiTheme="majorBidi" w:cstheme="majorBidi"/>
                <w:b/>
                <w:i/>
                <w:sz w:val="24"/>
                <w:szCs w:val="24"/>
              </w:rPr>
              <w:t>:</w:t>
            </w:r>
          </w:p>
          <w:p w14:paraId="49195371" w14:textId="01F56134" w:rsidR="008F08A2" w:rsidRPr="006948CD" w:rsidRDefault="008A1D98" w:rsidP="00103106">
            <w:pPr>
              <w:spacing w:line="276" w:lineRule="auto"/>
              <w:rPr>
                <w:b/>
                <w:bCs/>
                <w:color w:val="000000" w:themeColor="text1"/>
                <w:sz w:val="24"/>
                <w:szCs w:val="24"/>
              </w:rPr>
            </w:pPr>
            <w:r>
              <w:rPr>
                <w:b/>
                <w:bCs/>
                <w:color w:val="000000" w:themeColor="text1"/>
                <w:sz w:val="24"/>
                <w:szCs w:val="24"/>
              </w:rPr>
              <w:t>(</w:t>
            </w:r>
            <w:r w:rsidR="00186FB6" w:rsidRPr="00186FB6">
              <w:rPr>
                <w:rFonts w:asciiTheme="majorBidi" w:hAnsiTheme="majorBidi" w:cstheme="majorBidi"/>
                <w:b/>
                <w:bCs/>
                <w:sz w:val="24"/>
              </w:rPr>
              <w:t>Fatoni Fatoni</w:t>
            </w:r>
            <w:r>
              <w:rPr>
                <w:b/>
                <w:bCs/>
                <w:color w:val="000000" w:themeColor="text1"/>
                <w:sz w:val="24"/>
                <w:szCs w:val="24"/>
              </w:rPr>
              <w:t>)</w:t>
            </w:r>
            <w:r w:rsidR="008F08A2" w:rsidRPr="006948CD">
              <w:rPr>
                <w:b/>
                <w:bCs/>
                <w:color w:val="000000" w:themeColor="text1"/>
                <w:sz w:val="24"/>
                <w:szCs w:val="24"/>
              </w:rPr>
              <w:t xml:space="preserve"> </w:t>
            </w:r>
          </w:p>
          <w:p w14:paraId="315ACA3F" w14:textId="06E0B5E2" w:rsidR="00186FB6" w:rsidRDefault="00186FB6" w:rsidP="00361D1D">
            <w:pPr>
              <w:pStyle w:val="ListParagraph"/>
              <w:numPr>
                <w:ilvl w:val="0"/>
                <w:numId w:val="5"/>
              </w:numPr>
              <w:jc w:val="both"/>
              <w:rPr>
                <w:rFonts w:asciiTheme="majorBidi" w:hAnsiTheme="majorBidi" w:cstheme="majorBidi"/>
                <w:sz w:val="24"/>
                <w:szCs w:val="24"/>
              </w:rPr>
            </w:pPr>
            <w:r w:rsidRPr="00186FB6">
              <w:rPr>
                <w:rFonts w:asciiTheme="majorBidi" w:hAnsiTheme="majorBidi" w:cstheme="majorBidi"/>
                <w:sz w:val="24"/>
                <w:szCs w:val="24"/>
              </w:rPr>
              <w:t>Department of Physical Education, Health and Recreation Universitas Negeri Makassar, Indonesia.</w:t>
            </w:r>
          </w:p>
          <w:p w14:paraId="3C411EDF" w14:textId="04B68F43" w:rsidR="008F08A2" w:rsidRPr="008E0735" w:rsidRDefault="002469F4">
            <w:pPr>
              <w:pStyle w:val="ListParagraph"/>
              <w:numPr>
                <w:ilvl w:val="0"/>
                <w:numId w:val="5"/>
              </w:numPr>
              <w:spacing w:after="0"/>
              <w:rPr>
                <w:rFonts w:asciiTheme="majorBidi" w:hAnsiTheme="majorBidi" w:cstheme="majorBidi"/>
                <w:sz w:val="24"/>
                <w:szCs w:val="24"/>
              </w:rPr>
            </w:pPr>
            <w:r>
              <w:rPr>
                <w:rFonts w:asciiTheme="majorBidi" w:hAnsiTheme="majorBidi" w:cstheme="majorBidi"/>
                <w:sz w:val="24"/>
                <w:szCs w:val="24"/>
              </w:rPr>
              <w:t xml:space="preserve">Email: </w:t>
            </w:r>
            <w:hyperlink r:id="rId18" w:history="1">
              <w:r w:rsidR="00186FB6" w:rsidRPr="00186FB6">
                <w:rPr>
                  <w:rStyle w:val="Hyperlink"/>
                  <w:rFonts w:asciiTheme="majorBidi" w:hAnsiTheme="majorBidi" w:cstheme="majorBidi"/>
                  <w:sz w:val="24"/>
                  <w:szCs w:val="24"/>
                </w:rPr>
                <w:t>fatoni@unm.ac.id</w:t>
              </w:r>
            </w:hyperlink>
            <w:r w:rsidR="00F26AEE" w:rsidRPr="008E0735">
              <w:rPr>
                <w:rFonts w:asciiTheme="majorBidi" w:hAnsiTheme="majorBidi" w:cstheme="majorBidi"/>
                <w:sz w:val="24"/>
                <w:szCs w:val="24"/>
              </w:rPr>
              <w:t xml:space="preserve"> </w:t>
            </w:r>
            <w:r w:rsidR="00F26AEE" w:rsidRPr="008E0735">
              <w:rPr>
                <w:rFonts w:asciiTheme="majorBidi" w:hAnsiTheme="majorBidi" w:cstheme="majorBidi"/>
                <w:sz w:val="24"/>
                <w:szCs w:val="24"/>
              </w:rPr>
              <w:t>‬</w:t>
            </w:r>
            <w:r w:rsidR="00F26AEE" w:rsidRPr="008E0735">
              <w:rPr>
                <w:rFonts w:asciiTheme="majorBidi" w:hAnsiTheme="majorBidi" w:cstheme="majorBidi"/>
                <w:sz w:val="24"/>
                <w:szCs w:val="24"/>
              </w:rPr>
              <w:t>‬</w:t>
            </w:r>
            <w:r w:rsidR="00F26AEE" w:rsidRPr="008E0735">
              <w:rPr>
                <w:rFonts w:asciiTheme="majorBidi" w:hAnsiTheme="majorBidi" w:cstheme="majorBidi"/>
                <w:sz w:val="24"/>
                <w:szCs w:val="24"/>
              </w:rPr>
              <w:t>‬</w:t>
            </w:r>
            <w:r w:rsidR="00F26AEE" w:rsidRPr="008E0735">
              <w:rPr>
                <w:rFonts w:asciiTheme="majorBidi" w:hAnsiTheme="majorBidi" w:cstheme="majorBidi"/>
                <w:sz w:val="24"/>
                <w:szCs w:val="24"/>
              </w:rPr>
              <w:t>‬</w:t>
            </w:r>
            <w:r w:rsidR="00046478">
              <w:t xml:space="preserve"> </w:t>
            </w:r>
            <w:r w:rsidR="00F26AEE">
              <w:t xml:space="preserve"> </w:t>
            </w:r>
          </w:p>
        </w:tc>
      </w:tr>
      <w:tr w:rsidR="005F72B7" w:rsidRPr="00DA40B6" w14:paraId="78D18CB4" w14:textId="77777777" w:rsidTr="00B22FFF">
        <w:trPr>
          <w:trHeight w:val="374"/>
        </w:trPr>
        <w:tc>
          <w:tcPr>
            <w:tcW w:w="9113" w:type="dxa"/>
            <w:tcBorders>
              <w:top w:val="single" w:sz="4" w:space="0" w:color="EE0000"/>
            </w:tcBorders>
          </w:tcPr>
          <w:p w14:paraId="1A6A3DCC" w14:textId="77777777" w:rsidR="00103106" w:rsidRPr="00B22FFF" w:rsidRDefault="00103106" w:rsidP="00103106">
            <w:pPr>
              <w:spacing w:before="120" w:line="276" w:lineRule="auto"/>
              <w:rPr>
                <w:rFonts w:asciiTheme="majorBidi" w:hAnsiTheme="majorBidi" w:cstheme="majorBidi"/>
                <w:b/>
                <w:i/>
                <w:sz w:val="2"/>
                <w:szCs w:val="2"/>
              </w:rPr>
            </w:pPr>
          </w:p>
        </w:tc>
      </w:tr>
    </w:tbl>
    <w:p w14:paraId="0E26DB3A" w14:textId="20B9E15A" w:rsidR="00BA0A93" w:rsidRPr="000A0940" w:rsidRDefault="000A0940" w:rsidP="000A0940">
      <w:pPr>
        <w:spacing w:line="276" w:lineRule="auto"/>
        <w:jc w:val="both"/>
        <w:rPr>
          <w:rFonts w:asciiTheme="majorBidi" w:hAnsiTheme="majorBidi" w:cstheme="majorBidi"/>
          <w:b/>
          <w:bCs/>
          <w:i/>
          <w:iCs/>
          <w:sz w:val="28"/>
          <w:szCs w:val="28"/>
        </w:rPr>
      </w:pPr>
      <w:bookmarkStart w:id="2" w:name="_TOC_250010"/>
      <w:bookmarkStart w:id="3" w:name="_TOC_250008"/>
      <w:bookmarkEnd w:id="2"/>
      <w:bookmarkEnd w:id="3"/>
      <w:r w:rsidRPr="000A0940">
        <w:rPr>
          <w:rFonts w:asciiTheme="majorBidi" w:hAnsiTheme="majorBidi" w:cstheme="majorBidi"/>
          <w:b/>
          <w:bCs/>
          <w:i/>
          <w:iCs/>
          <w:sz w:val="28"/>
          <w:szCs w:val="28"/>
        </w:rPr>
        <w:t xml:space="preserve">1. </w:t>
      </w:r>
      <w:r w:rsidR="00BA0A93" w:rsidRPr="000A0940">
        <w:rPr>
          <w:rFonts w:asciiTheme="majorBidi" w:hAnsiTheme="majorBidi" w:cstheme="majorBidi"/>
          <w:b/>
          <w:bCs/>
          <w:i/>
          <w:iCs/>
          <w:sz w:val="28"/>
          <w:szCs w:val="28"/>
        </w:rPr>
        <w:t>INTRODUCTION</w:t>
      </w:r>
      <w:r w:rsidRPr="000A0940">
        <w:rPr>
          <w:rFonts w:asciiTheme="majorBidi" w:hAnsiTheme="majorBidi" w:cstheme="majorBidi"/>
          <w:b/>
          <w:bCs/>
          <w:i/>
          <w:iCs/>
          <w:sz w:val="28"/>
          <w:szCs w:val="28"/>
        </w:rPr>
        <w:t>:</w:t>
      </w:r>
    </w:p>
    <w:p w14:paraId="4960F65C" w14:textId="77777777" w:rsidR="00B046BB" w:rsidRPr="00B046BB" w:rsidRDefault="00B046BB" w:rsidP="00B046BB">
      <w:pPr>
        <w:spacing w:line="276" w:lineRule="auto"/>
        <w:ind w:firstLine="720"/>
        <w:jc w:val="both"/>
        <w:rPr>
          <w:rFonts w:asciiTheme="majorBidi" w:hAnsiTheme="majorBidi" w:cstheme="majorBidi"/>
          <w:sz w:val="28"/>
          <w:szCs w:val="28"/>
        </w:rPr>
      </w:pPr>
      <w:r w:rsidRPr="00B046BB">
        <w:rPr>
          <w:rFonts w:asciiTheme="majorBidi" w:hAnsiTheme="majorBidi" w:cstheme="majorBidi"/>
          <w:sz w:val="28"/>
          <w:szCs w:val="28"/>
        </w:rPr>
        <w:t xml:space="preserve">Cardiovascular system efficiency is a key determinant of physical fitness, health, and sports performance. Cardiovascular adaptability reflects the body's physiological regulatory capacity to maintain performance during prolonged physical activity </w:t>
      </w:r>
      <w:r w:rsidRPr="00B046BB">
        <w:rPr>
          <w:rFonts w:asciiTheme="majorBidi" w:hAnsiTheme="majorBidi" w:cstheme="majorBidi"/>
          <w:sz w:val="28"/>
          <w:szCs w:val="28"/>
        </w:rPr>
        <w:fldChar w:fldCharType="begin" w:fldLock="1"/>
      </w:r>
      <w:r w:rsidRPr="00B046BB">
        <w:rPr>
          <w:rFonts w:asciiTheme="majorBidi" w:hAnsiTheme="majorBidi" w:cstheme="majorBidi"/>
          <w:sz w:val="28"/>
          <w:szCs w:val="28"/>
        </w:rPr>
        <w:instrText>ADDIN CSL_CITATION {"citationItems":[{"id":"ITEM-1","itemData":{"DOI":"10.3389/fphys.2025.1519240","author":[{"dropping-particle":"","family":"Brandt","given":"Tom","non-dropping-particle":"","parse-names":false,"suffix":""},{"dropping-particle":"","family":"Ebel","given":"Christine","non-dropping-particle":"","parse-names":false,"suffix":""},{"dropping-particle":"","family":"Lebahn","given":"Christopher","non-dropping-particle":"","parse-names":false,"suffix":""},{"dropping-particle":"","family":"Schmidt","given":"Annette M","non-dropping-particle":"","parse-names":false,"suffix":""}],"container-title":"Frontiers in Physiology","id":"ITEM-1","issued":{"date-parts":[["2025"]]},"title":"Acute Physiological Responses and Performance Determinants in Hyrox© – A New Running-Focused High Intensity Functional Fitness Trend","type":"article"},"uris":["http://www.mendeley.com/documents/?uuid=51a0a9e3-6521-44ea-bb09-1af8212bbdb5"]},{"id":"ITEM-2","itemData":{"DOI":"10.3390/jfmk10040365","author":[{"dropping-particl</w:instrText>
      </w:r>
      <w:r w:rsidRPr="00B046BB">
        <w:rPr>
          <w:rFonts w:asciiTheme="majorBidi" w:hAnsiTheme="majorBidi" w:cstheme="majorBidi" w:hint="eastAsia"/>
          <w:sz w:val="28"/>
          <w:szCs w:val="28"/>
        </w:rPr>
        <w:instrText>e":"","family":"López","given":"Paloma","non-dropping-particle":"","parse-names":false,"suffix":""},{"dropping-particle":"","family":"Santos‐García","given":"Daniel Juárez","non-dropping-particle":"","parse-names":false,"suffix":""}],"container-title":"Jo</w:instrText>
      </w:r>
      <w:r w:rsidRPr="00B046BB">
        <w:rPr>
          <w:rFonts w:asciiTheme="majorBidi" w:hAnsiTheme="majorBidi" w:cstheme="majorBidi"/>
          <w:sz w:val="28"/>
          <w:szCs w:val="28"/>
        </w:rPr>
        <w:instrText>urnal of Functional Morphology and Kinesiology","id":"ITEM-2","issued":{"date-parts":[["2025"]]},"title":"High Intensity Functional Training in Hybrid Competitions: A Scoping Review of Performance Models and Physiological Adaptations","type":"article"},"u</w:instrText>
      </w:r>
      <w:r w:rsidRPr="00B046BB">
        <w:rPr>
          <w:rFonts w:asciiTheme="majorBidi" w:hAnsiTheme="majorBidi" w:cstheme="majorBidi" w:hint="eastAsia"/>
          <w:sz w:val="28"/>
          <w:szCs w:val="28"/>
        </w:rPr>
        <w:instrText>ris":["http://www.mendeley.com/documents/?uuid=f0dc4fd4-a48c-4633-a230-1373b931adb4"]}],"mendeley":{"formattedCitation":"(Brandt et al., 2025; López &amp; Santos‐García, 2025)","plainTextFormattedCitation":"(Brandt et al., 2025; López &amp; Santos‐García, 2025)","previouslyFormattedCitation":"(Brandt et al., 2025; López &amp; Santos‐García, 2025)"},"properties":{"noteIndex":0},"schema":"https://github.com/citation-style-language/schema/raw/master/csl-citation.json"}</w:instrText>
      </w:r>
      <w:r w:rsidRPr="00B046BB">
        <w:rPr>
          <w:rFonts w:asciiTheme="majorBidi" w:hAnsiTheme="majorBidi" w:cstheme="majorBidi"/>
          <w:sz w:val="28"/>
          <w:szCs w:val="28"/>
        </w:rPr>
        <w:fldChar w:fldCharType="separate"/>
      </w:r>
      <w:r w:rsidRPr="00B046BB">
        <w:rPr>
          <w:rFonts w:asciiTheme="majorBidi" w:hAnsiTheme="majorBidi" w:cstheme="majorBidi" w:hint="eastAsia"/>
          <w:sz w:val="28"/>
          <w:szCs w:val="28"/>
        </w:rPr>
        <w:t>(Brandt et al., 2025; López &amp; Santos‐García, 2025)</w:t>
      </w:r>
      <w:r w:rsidRPr="00B046BB">
        <w:rPr>
          <w:rFonts w:asciiTheme="majorBidi" w:hAnsiTheme="majorBidi" w:cstheme="majorBidi"/>
          <w:sz w:val="28"/>
          <w:szCs w:val="28"/>
        </w:rPr>
        <w:fldChar w:fldCharType="end"/>
      </w:r>
      <w:r w:rsidRPr="00B046BB">
        <w:rPr>
          <w:rFonts w:asciiTheme="majorBidi" w:hAnsiTheme="majorBidi" w:cstheme="majorBidi"/>
          <w:sz w:val="28"/>
          <w:szCs w:val="28"/>
        </w:rPr>
        <w:t xml:space="preserve">. Endurance training is known to increase cardiac output, oxygen utilization efficiency, and autonomic nervous system control, thus supporting more stable submaximal performance </w:t>
      </w:r>
      <w:r w:rsidRPr="00B046BB">
        <w:rPr>
          <w:rFonts w:asciiTheme="majorBidi" w:hAnsiTheme="majorBidi" w:cstheme="majorBidi"/>
          <w:sz w:val="28"/>
          <w:szCs w:val="28"/>
        </w:rPr>
        <w:fldChar w:fldCharType="begin" w:fldLock="1"/>
      </w:r>
      <w:r w:rsidRPr="00B046BB">
        <w:rPr>
          <w:rFonts w:asciiTheme="majorBidi" w:hAnsiTheme="majorBidi" w:cstheme="majorBidi"/>
          <w:sz w:val="28"/>
          <w:szCs w:val="28"/>
        </w:rPr>
        <w:instrText>ADDIN CSL_CITATION {"citationItems":[{"id":"ITEM-1","itemData":{"DOI":"10.22271/kheljournal.2023.v10.i1e.3316","ISSN":"23941685","author":[{"dropping-particle":"","family":"Kodli","given":"Urvashi","non-dropping-particle":"","parse-names":false,"suffix":""}],"container-title":"International Journal of Physical Education, Sports and Health","id":"ITEM-1","issue":"1","issued":{"date-parts":[["2023","1","1"]]},"page":"350-356","title":"Physiological adaptations to endurance, strength and interval training: Implications for health and performance","type":"article-journal","volume":"10"},"uris":["http://www.mendeley.com/documents/?uuid=f8362de4-a127-47cd-ab45-b076abb13b4a"]},{"id":"ITEM-2","itemData":{"DOI":"10.3389/fcvm.2021.734278","author":[{"dropping-particle":"","family":"Taylor","given":"Jenna L","non-dropping-particle":"","parse-names":false,"suffix":""},{"dropping-particle":"","family":"Bonikowske","given":"Amanda R","non-dropping-particle":"","parse-names":false,"suffix":""},{"dropping-particle":"","family":"Olson","given":"Thomas P","non-dropping-particle":"","parse-names":false,"suffix":""}],"container-title":"Frontiers in Cardiovascular Medicine","id":"ITEM-2","issued":{"date-parts":[["2021"]]},"title":"Optimizing Outcomes in Cardiac Rehabilitation: The Importance of Exercise Intensity","type":"article"},"uris":["http://www.mendeley.com/documents/?uuid=7ce81d79-51ef-4bed-8b7b-1e3ce79e4e0f"]}],"mendeley":{"formattedCitation":"(Kodli, 2023; Taylor et al., 2021)","plainTextFormattedCitation":"(Kodli, 2023; Taylor et al., 2021)","previouslyFormattedCitation":"(Kodli, 2023; Taylor et al., 2021)"},"properties":{"noteIndex":0},"schema":"https://github.com/citation-style-language/schema/raw/master/csl-citation.json"}</w:instrText>
      </w:r>
      <w:r w:rsidRPr="00B046BB">
        <w:rPr>
          <w:rFonts w:asciiTheme="majorBidi" w:hAnsiTheme="majorBidi" w:cstheme="majorBidi"/>
          <w:sz w:val="28"/>
          <w:szCs w:val="28"/>
        </w:rPr>
        <w:fldChar w:fldCharType="separate"/>
      </w:r>
      <w:r w:rsidRPr="00B046BB">
        <w:rPr>
          <w:rFonts w:asciiTheme="majorBidi" w:hAnsiTheme="majorBidi" w:cstheme="majorBidi"/>
          <w:sz w:val="28"/>
          <w:szCs w:val="28"/>
        </w:rPr>
        <w:t>(Kodli, 2023; Taylor et al., 2021)</w:t>
      </w:r>
      <w:r w:rsidRPr="00B046BB">
        <w:rPr>
          <w:rFonts w:asciiTheme="majorBidi" w:hAnsiTheme="majorBidi" w:cstheme="majorBidi"/>
          <w:sz w:val="28"/>
          <w:szCs w:val="28"/>
        </w:rPr>
        <w:fldChar w:fldCharType="end"/>
      </w:r>
      <w:r w:rsidRPr="00B046BB">
        <w:rPr>
          <w:rFonts w:asciiTheme="majorBidi" w:hAnsiTheme="majorBidi" w:cstheme="majorBidi"/>
          <w:sz w:val="28"/>
          <w:szCs w:val="28"/>
        </w:rPr>
        <w:t>.</w:t>
      </w:r>
    </w:p>
    <w:p w14:paraId="27D80DB3" w14:textId="77777777" w:rsidR="00B046BB" w:rsidRPr="00B046BB" w:rsidRDefault="00B046BB" w:rsidP="00B046BB">
      <w:pPr>
        <w:spacing w:line="276" w:lineRule="auto"/>
        <w:jc w:val="both"/>
        <w:rPr>
          <w:rFonts w:asciiTheme="majorBidi" w:hAnsiTheme="majorBidi" w:cstheme="majorBidi"/>
          <w:sz w:val="28"/>
          <w:szCs w:val="28"/>
        </w:rPr>
      </w:pPr>
      <w:r w:rsidRPr="00B046BB">
        <w:rPr>
          <w:rFonts w:asciiTheme="majorBidi" w:hAnsiTheme="majorBidi" w:cstheme="majorBidi"/>
          <w:sz w:val="28"/>
          <w:szCs w:val="28"/>
        </w:rPr>
        <w:t xml:space="preserve">Although adaptive responses to training are often assumed to be homogeneous, evidence suggests substantial interindividual variation, even when given a uniform training stimulus. This variability is influenced by age, initial fitness level, and biological characteristics, including genetics </w:t>
      </w:r>
      <w:r w:rsidRPr="00B046BB">
        <w:rPr>
          <w:rFonts w:asciiTheme="majorBidi" w:hAnsiTheme="majorBidi" w:cstheme="majorBidi"/>
          <w:sz w:val="28"/>
          <w:szCs w:val="28"/>
        </w:rPr>
        <w:fldChar w:fldCharType="begin" w:fldLock="1"/>
      </w:r>
      <w:r w:rsidRPr="00B046BB">
        <w:rPr>
          <w:rFonts w:asciiTheme="majorBidi" w:hAnsiTheme="majorBidi" w:cstheme="majorBidi"/>
          <w:sz w:val="28"/>
          <w:szCs w:val="28"/>
        </w:rPr>
        <w:instrText>ADDIN CSL_CITATION {"citationItems":[{"id":"ITEM-1","itemData":{"DOI":"10.3390/ijerph192114439","author":[{"dropping-particle":"","family":"Lopes","given":"Thiago Ribeiro","non-dropping-particle":"","parse-names":false,"suffix":""},{"dropping-particle":"","family":"Pereira","given":"Hugo M","non-dropping-particle":"","parse-names":false,"suffix":""},{"dropping-particle":"","family":"Silva","given":"Bruno M","non-dropping-particle":"","parse-names":false,"suffix":""}],"container-title":"International Journal of Environmental Research and Public Health","id":"ITEM-1","issued":{"date-parts":[["2022"]]},"title":"Perceived Exertion: Revisiting the History and Updating the Neurophysiology and the Practical Applications","type":"article"},"uris":["http://www.mendeley.com/documents/?uuid=44ba9ee7-67bf-4846-8b1c-9a0c64f46588"]},{"id":"ITEM-2","itemData":{"DOI":"10.1111/ane.13041","author":[{"dropping-particle":"","family":"Sandroff","given":"Brian M","non-dropping-particle":"","parse-names":false,"suffix":""},{"dropping-particle":"","family":"Baird","given":"Jessica F","non-dropping-particle":"","parse-names":false,"suffix":""},{"dropping-particle":"","family":"Silveira","given":"Stephanie L","non-dropping-particle":"","parse-names":false,"suffix":""},{"dropping-particle":"","family":"Motl","given":"Robert W","non-dropping-particle":"","parse-names":false,"suffix":""}],"container-title":"Acta Neurologica Scandinavica","id":"ITEM-2","issued":{"date-parts":[["2018"]]},"title":"Response Heterogeneity in Fitness, Mobility and Cognition With Exercise-Training in MS","type":"article"},"uris":["http://www.mendeley.com/documents/?uuid=41adc84a-e508-4ef3-b43b-58a613bc176d"]}],"mendeley":{"formattedCitation":"(Lopes et al., 2022; Sandroff et al., 2018)","plainTextFormattedCitation":"(Lopes et al., 2022; Sandroff et al., 2018)","previouslyFormattedCitation":"(Lopes et al., 2022; Sandroff et al., 2018)"},"properties":{"noteIndex":0},"schema":"https://github.com/citation-style-language/schema/raw/master/csl-citation.json"}</w:instrText>
      </w:r>
      <w:r w:rsidRPr="00B046BB">
        <w:rPr>
          <w:rFonts w:asciiTheme="majorBidi" w:hAnsiTheme="majorBidi" w:cstheme="majorBidi"/>
          <w:sz w:val="28"/>
          <w:szCs w:val="28"/>
        </w:rPr>
        <w:fldChar w:fldCharType="separate"/>
      </w:r>
      <w:r w:rsidRPr="00B046BB">
        <w:rPr>
          <w:rFonts w:asciiTheme="majorBidi" w:hAnsiTheme="majorBidi" w:cstheme="majorBidi"/>
          <w:sz w:val="28"/>
          <w:szCs w:val="28"/>
        </w:rPr>
        <w:t>(Lopes et al., 2022; Sandroff et al., 2018)</w:t>
      </w:r>
      <w:r w:rsidRPr="00B046BB">
        <w:rPr>
          <w:rFonts w:asciiTheme="majorBidi" w:hAnsiTheme="majorBidi" w:cstheme="majorBidi"/>
          <w:sz w:val="28"/>
          <w:szCs w:val="28"/>
        </w:rPr>
        <w:fldChar w:fldCharType="end"/>
      </w:r>
      <w:r w:rsidRPr="00B046BB">
        <w:rPr>
          <w:rFonts w:asciiTheme="majorBidi" w:hAnsiTheme="majorBidi" w:cstheme="majorBidi"/>
          <w:sz w:val="28"/>
          <w:szCs w:val="28"/>
        </w:rPr>
        <w:t xml:space="preserve">. In this context, genetic factors are increasingly recognized as important contributors to differences in cardiovascular adaptation and endurance </w:t>
      </w:r>
      <w:r w:rsidRPr="00B046BB">
        <w:rPr>
          <w:rFonts w:asciiTheme="majorBidi" w:hAnsiTheme="majorBidi" w:cstheme="majorBidi"/>
          <w:sz w:val="28"/>
          <w:szCs w:val="28"/>
        </w:rPr>
        <w:fldChar w:fldCharType="begin" w:fldLock="1"/>
      </w:r>
      <w:r w:rsidRPr="00B046BB">
        <w:rPr>
          <w:rFonts w:asciiTheme="majorBidi" w:hAnsiTheme="majorBidi" w:cstheme="majorBidi"/>
          <w:sz w:val="28"/>
          <w:szCs w:val="28"/>
        </w:rPr>
        <w:instrText>ADDIN CSL_CITATION {"citationItems":[{"id":"ITEM-1","itemData":{"DOI":"10.3390/nu16223943","author":[{"dropping-particle":"","family":"Bedrač","given":"Leon","non-dropping-particle":"","parse-names":false,"suffix":""},{"dropping-particle":"","family":"Deutsch","given":"Leon","non-dropping-particle":"","parse-names":false,"suffix":""},{"dropping-particle":"","family":"Terzić","given":"Sanja","non-dropping-particle":"","parse-names":false,"suffix":""},{"dropping-particle":"","family":"Červek","given":"Matej","non-dropping-particle":"","parse-names":false,"suffix":""},{"dropping-particle":"","family":"Šelb","given":"Julij","non-dropping-particle":"","parse-names":false,"suffix":""},{"dropping-particle":"","family":"Ašič","given":"Urška","non-dropping-particle":"","parse-names":false,"suffix":""},{"dropping-particle":"","family":"Verstraeten","given":"Laure M G","non-dropping-particle":"","parse-names":false,"suffix":""},{"dropping-particle":"","family":"Kuščer","given":"Enej","non-dropping-particle":"","parse-names":false,"suffix":""},{"dropping-particle":"","family":"Cvetko","given":"Filip","non-dropping-particle":"","parse-names":false,"suffix":""}],"container-title":"Nutrients","id":"ITEM-1","issued":{"date-parts":[["2024"]]},"title":"Towards Precision Sports Nutrition for Endurance Athletes: A Scoping Review of Application of Omics and Wearables Technologies","type":"article"},"uris":["http://www.mendeley.com/documents/?uuid=82bdc2e2-238e-48ab-b31c-eb174ec915d6"]},{"id":"ITEM-2","itemData":{"DOI":"10.1007/s00421-023-05340-y","author":[{"dropping-particle":"","family":"Bossi","given":"Arthur Henrique","non-dropping-particle":"","parse-names":false,"suffix":""},{"dropping-particle":"","family":"Naumann","given":"Ulrike","non-dropping-particle":"","parse-names":false,"suffix":""},{"dropping-particle":"","family":"Passfield","given":"Louis","non-dropping-particle":"","parse-names":false,"suffix":""},{"dropping-particle":"","family":"Hopker","given":"James","non-dropping-particle":"","parse-names":false,"suffix":""}],"container-title":"European Journal of Applied Physiology","id":"ITEM-2","issued":{"date-parts":[["2023"]]},"title":"Modelling Inter-Individual Variability in Acute and Adaptive Responses to Interval Training: Insights Into Exercise Intensity Normalisation","type":"article"},"uris":["http://www.mendeley.com/documents/?uuid=9bd8cc18-1ea5-4f63-b800-3f4e4670b23d"]}],"mendeley":{"formattedCitation":"(Bedrač et al., 2024; Bossi et al., 2023)","plainTextFormattedCitation":"(Bedrač et al., 2024; Bossi et al., 2023)","previouslyFormattedCitation":"(Bedrač et al., 2024; Bossi et al., 2023)"},"properties":{"noteIndex":0},"schema":"https://github.com/citation-style-language/schema/raw/master/csl-citation.json"}</w:instrText>
      </w:r>
      <w:r w:rsidRPr="00B046BB">
        <w:rPr>
          <w:rFonts w:asciiTheme="majorBidi" w:hAnsiTheme="majorBidi" w:cstheme="majorBidi"/>
          <w:sz w:val="28"/>
          <w:szCs w:val="28"/>
        </w:rPr>
        <w:fldChar w:fldCharType="separate"/>
      </w:r>
      <w:r w:rsidRPr="00B046BB">
        <w:rPr>
          <w:rFonts w:asciiTheme="majorBidi" w:hAnsiTheme="majorBidi" w:cstheme="majorBidi"/>
          <w:sz w:val="28"/>
          <w:szCs w:val="28"/>
        </w:rPr>
        <w:t>(Bedrač et al., 2024; Bossi et al., 2023)</w:t>
      </w:r>
      <w:r w:rsidRPr="00B046BB">
        <w:rPr>
          <w:rFonts w:asciiTheme="majorBidi" w:hAnsiTheme="majorBidi" w:cstheme="majorBidi"/>
          <w:sz w:val="28"/>
          <w:szCs w:val="28"/>
        </w:rPr>
        <w:fldChar w:fldCharType="end"/>
      </w:r>
      <w:r w:rsidRPr="00B046BB">
        <w:rPr>
          <w:rFonts w:asciiTheme="majorBidi" w:hAnsiTheme="majorBidi" w:cstheme="majorBidi"/>
          <w:sz w:val="28"/>
          <w:szCs w:val="28"/>
        </w:rPr>
        <w:t>.</w:t>
      </w:r>
    </w:p>
    <w:p w14:paraId="2692638C" w14:textId="6959EE2E" w:rsidR="00B046BB" w:rsidRPr="00B046BB" w:rsidRDefault="00B046BB" w:rsidP="00B046BB">
      <w:pPr>
        <w:spacing w:line="276" w:lineRule="auto"/>
        <w:jc w:val="both"/>
        <w:rPr>
          <w:rFonts w:asciiTheme="majorBidi" w:hAnsiTheme="majorBidi" w:cstheme="majorBidi"/>
          <w:sz w:val="28"/>
          <w:szCs w:val="28"/>
        </w:rPr>
      </w:pPr>
      <w:r w:rsidRPr="00B046BB">
        <w:rPr>
          <w:rFonts w:asciiTheme="majorBidi" w:hAnsiTheme="majorBidi" w:cstheme="majorBidi"/>
          <w:sz w:val="28"/>
          <w:szCs w:val="28"/>
        </w:rPr>
        <w:t>The</w:t>
      </w:r>
      <w:r>
        <w:rPr>
          <w:rFonts w:asciiTheme="majorBidi" w:hAnsiTheme="majorBidi" w:cstheme="majorBidi"/>
          <w:sz w:val="28"/>
          <w:szCs w:val="28"/>
        </w:rPr>
        <w:t xml:space="preserve"> </w:t>
      </w:r>
      <w:r w:rsidRPr="00B046BB">
        <w:rPr>
          <w:rFonts w:asciiTheme="majorBidi" w:hAnsiTheme="majorBidi" w:cstheme="majorBidi"/>
          <w:sz w:val="28"/>
          <w:szCs w:val="28"/>
        </w:rPr>
        <w:t xml:space="preserve">angiotensin-converting enzyme (ACE) gene, specifically the insertion/deletion (I/D) polymorphism, is one of the most extensively studied genetic markers in exercise physiology. This variation results in three genotypes (II, ID, DD) associated with differences in ACE activity, vascular regulation, and cardiovascular response to exercise </w:t>
      </w:r>
      <w:r w:rsidRPr="00B046BB">
        <w:rPr>
          <w:rFonts w:asciiTheme="majorBidi" w:hAnsiTheme="majorBidi" w:cstheme="majorBidi"/>
          <w:sz w:val="28"/>
          <w:szCs w:val="28"/>
        </w:rPr>
        <w:fldChar w:fldCharType="begin" w:fldLock="1"/>
      </w:r>
      <w:r w:rsidRPr="00B046BB">
        <w:rPr>
          <w:rFonts w:asciiTheme="majorBidi" w:hAnsiTheme="majorBidi" w:cstheme="majorBidi"/>
          <w:sz w:val="28"/>
          <w:szCs w:val="28"/>
        </w:rPr>
        <w:instrText>ADDIN CSL_CITATION {"citationItems":[{"id":"ITEM-1","itemData":{"DOI":"10.33846/hn30306","author":[{"dropping-particle":"","family":"Hadi","given":"Indriono","non-dropping-particle":"","parse-names":false,"suffix":""},{"dropping-particle":"","family":"Rosyanti","given":"Lilin","non-dropping-particle":"","parse-names":false,"suffix":""}],"container-title":"Health Notions","id":"ITEM-1","issued":{"date-parts":[["2019"]]},"title":"Genetic Variation of I/D Enzyme Converting Angiotensin (ACE) With Athlete Muscle Resistance","type":"article"},"uris":["http://www.mendeley.com/documents/?uuid=af2e552c-b901-4f8a-b5a6-10e4cf0af6b6"]},{"id":"ITEM-2","itemData":{"DOI":"10.3390/medicina61010098","author":[{"dropping-particle":"El","family":"Ouali","given":"El Mokhtar","non-dropping-particle":"","parse-names":false,"suffix":""},{"dropping-particle":"","family":"Kartibou","given":"Jihan","non-dropping-particle":"","parse-names":false,"suffix":""},{"dropping-particle":"Del","family":"Coso","given":"Juan","non-dropping-particle":"","parse-names":false,"suffix":""},{"dropping-particle":"","family":"Supriya","given":"Rashmi","non-dropping-particle":"","parse-names":false,"suffix":""},{"dropping-particle":"","family":"Laher","given":"Ismail","non-dropping-particle":"","parse-names":false,"suffix":""},{"dropping-particle":"El","family":"Kettani","given":"Zineb","non-dropping-particle":"","parse-names":false,"suffix":""},{"dropping-particle":"","family":"Ghazal","given":"Hassan","non-dropping-particle":"","parse-names":false,"suffix":""},{"dropping-particle":"Al","family":"Idrissi","given":"Najib","non-dropping-particle":"","parse-names":false,"suffix":""},{"dropping-particle":"","family":"Saeidi","given":"Ayoub","non-dropping-particle":"","parse-names":false,"suffix":""},{"dropping-particle":"","family":"Mesfioui","given":"Abdelhalem","non-dropping-particle":"","parse-names":false,"suffix":""},{"dropping-particle":"","family":"Zouhal","given":"Hassane","non-dropping-particle":"","parse-names":false,"suffix":""}],"container-title":"Medicina","id":"ITEM-2","issued":{"date-parts":[["2025"]]},"title":"ACE I/D Genotype and Risk of Non-Contact Injury in Moroccan Elite Athletes: A Pilot Study","type":"article"},"uris":["http://www.mendeley.com/documents/?uuid=2e1724b6-5fd9-42a2-a5c7-08e9d08fa9ce"]}],"mendeley":{"formattedCitation":"(Hadi &amp; Rosyanti, 2019; Ouali et al., 2025)","plainTextFormattedCitation":"(Hadi &amp; Rosyanti, 2019; Ouali et al., 2025)","previouslyFormattedCitation":"(Hadi &amp; Rosyanti, 2019; Ouali et al., 2025)"},"properties":{"noteIndex":0},"schema":"https://github.com/citation-style-language/schema/raw/master/csl-citation.json"}</w:instrText>
      </w:r>
      <w:r w:rsidRPr="00B046BB">
        <w:rPr>
          <w:rFonts w:asciiTheme="majorBidi" w:hAnsiTheme="majorBidi" w:cstheme="majorBidi"/>
          <w:sz w:val="28"/>
          <w:szCs w:val="28"/>
        </w:rPr>
        <w:fldChar w:fldCharType="separate"/>
      </w:r>
      <w:r w:rsidRPr="00B046BB">
        <w:rPr>
          <w:rFonts w:asciiTheme="majorBidi" w:hAnsiTheme="majorBidi" w:cstheme="majorBidi"/>
          <w:sz w:val="28"/>
          <w:szCs w:val="28"/>
        </w:rPr>
        <w:t>(Hadi &amp; Rosyanti, 2019; Ouali et al., 2025)</w:t>
      </w:r>
      <w:r w:rsidRPr="00B046BB">
        <w:rPr>
          <w:rFonts w:asciiTheme="majorBidi" w:hAnsiTheme="majorBidi" w:cstheme="majorBidi"/>
          <w:sz w:val="28"/>
          <w:szCs w:val="28"/>
        </w:rPr>
        <w:fldChar w:fldCharType="end"/>
      </w:r>
      <w:r w:rsidRPr="00B046BB">
        <w:rPr>
          <w:rFonts w:asciiTheme="majorBidi" w:hAnsiTheme="majorBidi" w:cstheme="majorBidi"/>
          <w:sz w:val="28"/>
          <w:szCs w:val="28"/>
        </w:rPr>
        <w:t xml:space="preserve">. The I allele is consistently associated with better aerobic performance and endurance adaptations, while the D allele is more frequently associated with strength characteristics and higher cardiovascular responses during exercise </w:t>
      </w:r>
      <w:r w:rsidRPr="00B046BB">
        <w:rPr>
          <w:rFonts w:asciiTheme="majorBidi" w:hAnsiTheme="majorBidi" w:cstheme="majorBidi"/>
          <w:sz w:val="28"/>
          <w:szCs w:val="28"/>
        </w:rPr>
        <w:fldChar w:fldCharType="begin" w:fldLock="1"/>
      </w:r>
      <w:r w:rsidRPr="00B046BB">
        <w:rPr>
          <w:rFonts w:asciiTheme="majorBidi" w:hAnsiTheme="majorBidi" w:cstheme="majorBidi"/>
          <w:sz w:val="28"/>
          <w:szCs w:val="28"/>
        </w:rPr>
        <w:instrText>ADDIN CSL_CITATION {"citationItems":[{"id":"ITEM-1","itemData":{"DOI":"10.1101/2025.01.20.633833","author":[{"dropping-particle":"","family":"Grover","given":"Vijmendra Kumar","non-dropping-particle":"","parse-names":false,"suffix":""},{"dropping-particle":"","family":"Verma","given":"J P","non-dropping-particle":"","parse-names":false,"suffix":""},{"dropping-particle":"","family":"Kumar","given":"Ashish","non-dropping-particle":"","parse-names":false,"suffix":""},{"dropping-particle":"","family":"Sharma","given":"Nivedita","non-dropping-particle":"","parse-names":false,"suffix":""},{"dropping-particle":"","family":"Tiwari","given":"Pramod Kumar","non-dropping-particle":"","parse-names":false,"suffix":""}],"id":"ITEM-1","issued":{"date-parts":[["2025"]]},"title":"R Allele of ACTN3 R577X Gene Polymorphism Is Associated With Elite Indian Boxer Status","type":"article"},"uris":["http://www.mendeley.com/documents/?uuid=51ed0bd4-3721-4637-a957-8437c7629fd0"]},{"id":"ITEM-2","itemData":{"DOI":"10.1186/s13102-024-00828-2","author":[{"dropping-particle":"","family":"Neto","given":"Severino Leão de Albuquerque","non-dropping-particle":"","parse-names":false,"suffix":""},{"dropping-particle":"dos","family":"Santos","given":"Marcos Antônio Pereira","non-dropping-particle":"","parse-names":false,"suffix":""},{"dropping-particle":"","family":"Silvino","given":"Valmir Oliveira","non-dropping-particle":"","parse-names":false,"suffix":""},{"dropping-particle":"","family":"Herrera","given":"Jose Juan Blanco","non-dropping-particle":"","parse-names":false,"suffix":""},{"dropping-particle":"","family":"Rosa","given":"Thiago dos Santos","non-dropping-particle":"","parse-names":false,"suffix":""},{"dropping-particle":"","family":"Silva","given":"Glauber Castelo Branco","non-dropping-particle":"","parse-names":false,"suffix":""},{"dropping-particle":"","family":"Couto","given":"Bruno Pena","non-dropping-particle":"","parse-names":false,"suffix":""},{"dropping-particle":"","family":"Ferreira","given":"Cirley Pinheiro","non-dropping-particle":"","parse-names":false,"suffix":""},{"dropping-particle":"","family":"Silva","given":"Alexandre Sérgio","non-dropping-particle":"","parse-names":false,"suffix":""},{"dropping-particle":"de","family":"Almeida","given":"Sandro Soares","non-dropping-particle":"","parse-names":false,"suffix":""},{"dropping-particle":"de","family":"Melo","given":"Gislane Ferreira","non-dropping-particle":"","parse-names":false,"suffix":""}],"container-title":"BMC Sports Science Medicine and Rehabilitation","id":"ITEM-2","issued":{"date-parts":[["2024"]]},"title":"Association Between ACTN3 (R577X), ACE (I/D), BDKRB2 (-9/+9), and AGT (M268T) Polymorphisms and Performance Phenotypes in Brazilian Swimmers","type":"article"},"uris":["http://www.mendeley.com/documents/?uuid=1e342c59-a15f-4861-9a9c-f9e4db1a145b"]},{"id":"ITEM-3","itemData":{"DOI":"10.1038/s41598-019-56263-8","author":[{"dropping-particle":"","family":"Dai","given":"Shuhong","non-dropping-particle":"","parse-names":false,"suffix":""},{"dropping-particle":"","family":"Ding","given":"Mei","non-dropping-particle":"","parse-names":false,"suffix":""},{"dropping-particle":"","family":"Liang","given":"Na","non-dropping-particle":"","parse-names":false,"suffix":""},{"dropping-particle":"","family":"Li","given":"Zhuo","non-dropping-particle":"","parse-names":false,"suffix":""},{"dropping-particle":"","family":"Li","given":"Daqing","non-dropping-particle":"","parse-names":false,"suffix":""},{"dropping-particle":"","family":"Guan","given":"Lianyue","non-dropping-particle":"","parse-names":false,"suffix":""},{"dropping-particle":"","family":"Liu","given":"Hongyu","non-dropping-particle":"","parse-names":false,"suffix":""}],"container-title":"Scientific Reports","id":"ITEM-3","issued":{"date-parts":[["2019"]]},"title":"Associations of ACE I/D Polymorphism With the Levels of ACE, Kallikrein, Angiotensin II and Interleukin-6 in STEMI Patients","type":"article"},"uris":["http://www.mendeley.com/documents/?uuid=8d6de303-d550-4445-98dc-5e5481546bd3"]}],"mendeley":{"formattedCitation":"(Dai et al., 2019; Grover et al., 2025; Neto et al., 2024)","plainTextFormattedCitation":"(Dai et al., 2019; Grover et al., 2025; Neto et al., 2024)","previouslyFormattedCitation":"(Dai et al., 2019; Grover et al., 2025; Neto et al., 2024)"},"properties":{"noteIndex":0},"schema":"https://github.com/citation-style-language/schema/raw/master/csl-citation.json"}</w:instrText>
      </w:r>
      <w:r w:rsidRPr="00B046BB">
        <w:rPr>
          <w:rFonts w:asciiTheme="majorBidi" w:hAnsiTheme="majorBidi" w:cstheme="majorBidi"/>
          <w:sz w:val="28"/>
          <w:szCs w:val="28"/>
        </w:rPr>
        <w:fldChar w:fldCharType="separate"/>
      </w:r>
      <w:r w:rsidRPr="00B046BB">
        <w:rPr>
          <w:rFonts w:asciiTheme="majorBidi" w:hAnsiTheme="majorBidi" w:cstheme="majorBidi"/>
          <w:sz w:val="28"/>
          <w:szCs w:val="28"/>
        </w:rPr>
        <w:t>(Dai et al., 2019; Grover et al., 2025; Neto et al., 2024)</w:t>
      </w:r>
      <w:r w:rsidRPr="00B046BB">
        <w:rPr>
          <w:rFonts w:asciiTheme="majorBidi" w:hAnsiTheme="majorBidi" w:cstheme="majorBidi"/>
          <w:sz w:val="28"/>
          <w:szCs w:val="28"/>
        </w:rPr>
        <w:fldChar w:fldCharType="end"/>
      </w:r>
      <w:r w:rsidRPr="00B046BB">
        <w:rPr>
          <w:rFonts w:asciiTheme="majorBidi" w:hAnsiTheme="majorBidi" w:cstheme="majorBidi"/>
          <w:sz w:val="28"/>
          <w:szCs w:val="28"/>
        </w:rPr>
        <w:t>.</w:t>
      </w:r>
    </w:p>
    <w:p w14:paraId="5901AB54" w14:textId="77777777" w:rsidR="00B046BB" w:rsidRPr="00B046BB" w:rsidRDefault="00B046BB" w:rsidP="00B046BB">
      <w:pPr>
        <w:spacing w:line="276" w:lineRule="auto"/>
        <w:jc w:val="both"/>
        <w:rPr>
          <w:rFonts w:asciiTheme="majorBidi" w:hAnsiTheme="majorBidi" w:cstheme="majorBidi"/>
          <w:sz w:val="28"/>
          <w:szCs w:val="28"/>
        </w:rPr>
      </w:pPr>
      <w:r w:rsidRPr="00B046BB">
        <w:rPr>
          <w:rFonts w:asciiTheme="majorBidi" w:hAnsiTheme="majorBidi" w:cstheme="majorBidi"/>
          <w:sz w:val="28"/>
          <w:szCs w:val="28"/>
        </w:rPr>
        <w:t xml:space="preserve">Although the relationship between ACE polymorphisms and endurance performance has been extensively studied in adults and athletes, evidence regarding their influence on heart rate dynamics during submaximal exercise in adolescents is limited </w:t>
      </w:r>
      <w:r w:rsidRPr="00B046BB">
        <w:rPr>
          <w:rFonts w:asciiTheme="majorBidi" w:hAnsiTheme="majorBidi" w:cstheme="majorBidi"/>
          <w:sz w:val="28"/>
          <w:szCs w:val="28"/>
        </w:rPr>
        <w:fldChar w:fldCharType="begin" w:fldLock="1"/>
      </w:r>
      <w:r w:rsidRPr="00B046BB">
        <w:rPr>
          <w:rFonts w:asciiTheme="majorBidi" w:hAnsiTheme="majorBidi" w:cstheme="majorBidi"/>
          <w:sz w:val="28"/>
          <w:szCs w:val="28"/>
        </w:rPr>
        <w:instrText>ADDIN CSL_CITATION {"citationItems":[{"id":"ITEM-1","itemData":{"DOI":"10.3389/fphys.2017.00993","author":[{"dropping-particle":"","family":"Valdivieso","given":"Paola","non-dropping-particle":"","parse-names":false,"suffix":""},{"dropping-particle":"","family":"Vaughan","given":"David","non-dropping-particle":"","parse-names":false,"suffix":""},{"dropping-particle":"","family":"Laczkó","given":"Endre","non-dropping-particle":"","parse-names":false,"suffix":""},{"dropping-particle":"","family":"Brogioli","given":"Michael","non-dropping-particle":"","parse-names":false,"suffix":""},{"dropping-particle":"","family":"Waldron","given":"Sarah","non-dropping-particle":"","parse-names":false,"suffix":""},{"dropping-particle":"","family":"Rittweger","given":"Jörn","non-dropping-particle":"","parse-names":false,"suffix":""},{"dropping-particle":"","family":"Flück","given":"Martin","non-dropping-particle":"","parse-names":false,"suffix":""}],"container-title":"Frontiers in Physiology","id":"ITEM-1","issued":{"date-parts":[["2017"]]},"title":"The Metabolic Response of Skeletal Muscle to Endurance Exercise Is Modified by the ACE-I/D Gene Polymorphism and Training State","type":"article"},"uris":["http://www.mendeley.com/documents/?uuid=07177d95-6836-427c-8bb4-194080b1768a"]},{"id":"ITEM-2","itemData":{"DOI":"10.1080/17461391.2018.1532532","author":[{"dropping-particle":"","family":"Rolim","given":"Paloma da Silva","non-dropping-particle":"","parse-names":false,"suffix":""},{"dropping-particle":"","family":"Matos","given":"Raquel Adjafre da Costa","non-dropping-particle":"","parse-names":false,"suffix":""},{"dropping-particle":"","family":"Soares","given":"Edgard de Melo Keene Von Koenig","non-dropping-particle":"","parse-names":false,"suffix":""},{"dropping-particle":"","family":"Molina","given":"Guilherme Eckhardt","non-dropping-particle":"","parse-names":false,"suffix":""},{"dropping-particle":"da","family":"Cruz","given":"Carlos Janssen Gomes","non-dropping-particle":"","parse-names":false,"suffix":""}],"container-title":"European Journal of Sport Science","id":"ITEM-2","issued":{"date-parts":[["2018"]]},"title":"Caffeine Increases Parasympathetic Reactivation Without Altering Resting and Exercise Cardiac Parasympathetic Modulation: A Balanced Placebo Design","type":"article"},"uris":["http://www.mendeley.com/documents/?uuid=17231c45-7e3c-41c9-b2f8-4b156903217a"]},{"id":"ITEM-3","itemData":{"DOI":"10.21203/rs.3.rs-3006317/v1","author":[{"dropping-particle":"","family":"Soares","given":"Nivaldo de Jesus Silva","non-dropping-particle":"","parse-names":false,"suffix":""},{"dropping-particle":"","family":"Senna","given":"Carlan","non-dropping-particle":"","parse-names":false,"suffix":""},{"dropping-particle":"","family":"Filho","given":"Carlos Alberto Alves Dias","non-dropping-particle":"","parse-names":false,"suffix":""},{"dropping-particle":"","family":"Rodrigues","given":"Bruno","non-dropping-particle":"","parse-names":false,"suffix":""},{"dropping-particle":"","family":"Irigoyen","given":"Maria Cláudia","non-dropping-particle":"","parse-names":false,"suffix":""},{"dropping-particle":"","family":"Mendes","given":"Vinícius","non-dropping-particle":"","parse-names":false,"suffix":""},{"dropping-particle":"","family":"Ferreira","given":"Andressa Bezerra","non-dropping-particle":"","parse-names":false,"suffix":""},{"dropping-particle":"","family":"Dias","given":"Carlos José Moraes","non-dropping-particle":"","parse-names":false,"suffix":""},{"dropping-particle":"","family":"Mostarda","given":"Cristiano Teixeira","non-dropping-particle":"","parse-names":false,"suffix":""}],"id":"ITEM-3","issued":{"date-parts":[["2023"]]},"title":"Title: Regular Physical Activity Can Contribute to Preventing Cardiovascular Risk Factors in Adolescents With ACE Gene Polymorphism","type":"article"},"uris":["http://www.mendeley.com/documents/?uuid=20b71c38-6065-48fa-b367-e49425526683"]}],"mendeley":{"formattedCitation":"(Rolim et al., 2018; Soares et al., 2023; Valdivieso et al., 2017)","plainTextFormattedCitation":"(Rolim et al., 2018; Soares et al., 2023; Valdivieso et al., 2017)"},"properties":{"noteIndex":0},"schema":"https://github.com/citation-style-language/schema/raw/master/csl-citation.json"}</w:instrText>
      </w:r>
      <w:r w:rsidRPr="00B046BB">
        <w:rPr>
          <w:rFonts w:asciiTheme="majorBidi" w:hAnsiTheme="majorBidi" w:cstheme="majorBidi"/>
          <w:sz w:val="28"/>
          <w:szCs w:val="28"/>
        </w:rPr>
        <w:fldChar w:fldCharType="separate"/>
      </w:r>
      <w:r w:rsidRPr="00B046BB">
        <w:rPr>
          <w:rFonts w:asciiTheme="majorBidi" w:hAnsiTheme="majorBidi" w:cstheme="majorBidi"/>
          <w:sz w:val="28"/>
          <w:szCs w:val="28"/>
        </w:rPr>
        <w:t xml:space="preserve">(Rolim et al., 2018; Soares et al., 2023; Valdivieso et al., </w:t>
      </w:r>
      <w:r w:rsidRPr="00B046BB">
        <w:rPr>
          <w:rFonts w:asciiTheme="majorBidi" w:hAnsiTheme="majorBidi" w:cstheme="majorBidi"/>
          <w:sz w:val="28"/>
          <w:szCs w:val="28"/>
        </w:rPr>
        <w:lastRenderedPageBreak/>
        <w:t>2017)</w:t>
      </w:r>
      <w:r w:rsidRPr="00B046BB">
        <w:rPr>
          <w:rFonts w:asciiTheme="majorBidi" w:hAnsiTheme="majorBidi" w:cstheme="majorBidi"/>
          <w:sz w:val="28"/>
          <w:szCs w:val="28"/>
        </w:rPr>
        <w:fldChar w:fldCharType="end"/>
      </w:r>
      <w:r w:rsidRPr="00B046BB">
        <w:rPr>
          <w:rFonts w:asciiTheme="majorBidi" w:hAnsiTheme="majorBidi" w:cstheme="majorBidi"/>
          <w:sz w:val="28"/>
          <w:szCs w:val="28"/>
        </w:rPr>
        <w:t>. Given that growth and maturation can influence cardiovascular regulation, studies in this age group are scientifically relevant.</w:t>
      </w:r>
    </w:p>
    <w:p w14:paraId="6910ED00" w14:textId="3A133DB1" w:rsidR="00B046BB" w:rsidRDefault="00B046BB" w:rsidP="00B046BB">
      <w:pPr>
        <w:spacing w:after="240" w:line="276" w:lineRule="auto"/>
        <w:jc w:val="both"/>
        <w:rPr>
          <w:rFonts w:asciiTheme="majorBidi" w:hAnsiTheme="majorBidi" w:cstheme="majorBidi"/>
          <w:sz w:val="28"/>
          <w:szCs w:val="28"/>
        </w:rPr>
      </w:pPr>
      <w:r w:rsidRPr="00B046BB">
        <w:rPr>
          <w:rFonts w:asciiTheme="majorBidi" w:hAnsiTheme="majorBidi" w:cstheme="majorBidi"/>
          <w:sz w:val="28"/>
          <w:szCs w:val="28"/>
        </w:rPr>
        <w:t>Therefore, this study aimed to evaluate the effect of ACE gene polymorphism on minute-by-minute heart rate dynamics during submaximal exercise after a 3-month fartlek training program in male adolescents</w:t>
      </w:r>
      <w:r>
        <w:rPr>
          <w:rFonts w:asciiTheme="majorBidi" w:hAnsiTheme="majorBidi" w:cstheme="majorBidi"/>
          <w:sz w:val="28"/>
          <w:szCs w:val="28"/>
        </w:rPr>
        <w:t>.</w:t>
      </w:r>
    </w:p>
    <w:p w14:paraId="4773805D" w14:textId="4C6D1509" w:rsidR="00B046BB" w:rsidRDefault="00B046BB" w:rsidP="00B046BB">
      <w:pPr>
        <w:spacing w:line="276" w:lineRule="auto"/>
        <w:jc w:val="both"/>
        <w:rPr>
          <w:rFonts w:asciiTheme="majorBidi" w:hAnsiTheme="majorBidi" w:cstheme="majorBidi"/>
          <w:b/>
          <w:bCs/>
          <w:i/>
          <w:iCs/>
          <w:sz w:val="28"/>
          <w:szCs w:val="28"/>
        </w:rPr>
      </w:pPr>
      <w:r w:rsidRPr="00B046BB">
        <w:rPr>
          <w:rFonts w:asciiTheme="majorBidi" w:hAnsiTheme="majorBidi" w:cstheme="majorBidi"/>
          <w:b/>
          <w:bCs/>
          <w:i/>
          <w:iCs/>
          <w:sz w:val="28"/>
          <w:szCs w:val="28"/>
        </w:rPr>
        <w:t>2. Methods</w:t>
      </w:r>
    </w:p>
    <w:p w14:paraId="17BDE83D" w14:textId="061F2F59" w:rsidR="00B046BB" w:rsidRDefault="00B046BB" w:rsidP="00B046BB">
      <w:pPr>
        <w:spacing w:line="276" w:lineRule="auto"/>
        <w:jc w:val="both"/>
        <w:rPr>
          <w:rFonts w:asciiTheme="majorBidi" w:hAnsiTheme="majorBidi" w:cstheme="majorBidi"/>
          <w:sz w:val="28"/>
          <w:szCs w:val="28"/>
        </w:rPr>
      </w:pPr>
      <w:r>
        <w:rPr>
          <w:rFonts w:asciiTheme="majorBidi" w:hAnsiTheme="majorBidi" w:cstheme="majorBidi"/>
          <w:b/>
          <w:bCs/>
          <w:i/>
          <w:iCs/>
          <w:sz w:val="28"/>
          <w:szCs w:val="28"/>
        </w:rPr>
        <w:t>2.1 Study Design and Participants</w:t>
      </w:r>
    </w:p>
    <w:p w14:paraId="0215F843" w14:textId="7FA3F289" w:rsidR="00B046BB" w:rsidRDefault="00B046BB" w:rsidP="00B046BB">
      <w:pPr>
        <w:spacing w:after="240" w:line="276" w:lineRule="auto"/>
        <w:ind w:firstLine="720"/>
        <w:jc w:val="both"/>
        <w:rPr>
          <w:rFonts w:asciiTheme="majorBidi" w:hAnsiTheme="majorBidi" w:cstheme="majorBidi"/>
          <w:sz w:val="28"/>
          <w:szCs w:val="28"/>
        </w:rPr>
      </w:pPr>
      <w:r w:rsidRPr="00B046BB">
        <w:rPr>
          <w:rFonts w:asciiTheme="majorBidi" w:hAnsiTheme="majorBidi" w:cstheme="majorBidi"/>
          <w:sz w:val="28"/>
          <w:szCs w:val="28"/>
        </w:rPr>
        <w:t>This study used a quantitative experimental design with pre- and post-intervention measurements. The study subjects were 59 male adolescents aged 13–15 years recruited from a junior high school in South Sulawesi Province. All subjects met the inclusion criteria, had no history of cardiovascular or metabolic disease, and had never participated in a structured endurance training program before the study was conducted. Written informed consent was obtained from all participants and their parents/guardians, and all study procedures were approved by the Research Ethics Committee (Approval Number: 557/H4.8.4.5.31/PP36-KOMETIK)</w:t>
      </w:r>
    </w:p>
    <w:p w14:paraId="2AAD8E5D" w14:textId="79601C6C" w:rsidR="00B046BB" w:rsidRDefault="00B046BB" w:rsidP="00B046BB">
      <w:pPr>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2.2 Training Intervention</w:t>
      </w:r>
    </w:p>
    <w:p w14:paraId="106AC7DF" w14:textId="03D9FABD" w:rsidR="00B046BB" w:rsidRPr="00B046BB" w:rsidRDefault="00B046BB" w:rsidP="00B046BB">
      <w:pPr>
        <w:spacing w:after="240" w:line="276" w:lineRule="auto"/>
        <w:ind w:firstLine="720"/>
        <w:jc w:val="both"/>
        <w:rPr>
          <w:rFonts w:asciiTheme="majorBidi" w:hAnsiTheme="majorBidi" w:cstheme="majorBidi"/>
          <w:sz w:val="28"/>
          <w:szCs w:val="28"/>
        </w:rPr>
      </w:pPr>
      <w:r w:rsidRPr="00B046BB">
        <w:rPr>
          <w:rFonts w:asciiTheme="majorBidi" w:hAnsiTheme="majorBidi" w:cstheme="majorBidi"/>
          <w:sz w:val="28"/>
          <w:szCs w:val="28"/>
        </w:rPr>
        <w:t>Participants participated in a structured 12-week fartlek training program, consisting of 36 training sessions. Each session consisted of continuous running at varying intensities, aimed at providing moderate to high aerobic activity. This training protocol focused on developing cardiovascular endurance through varying running tempos, a common characteristic of fartlek training in endurance training programs for adolescents</w:t>
      </w:r>
    </w:p>
    <w:p w14:paraId="57DA54CB" w14:textId="7AACCF83" w:rsidR="00B046BB" w:rsidRDefault="00B046BB" w:rsidP="00B046BB">
      <w:pPr>
        <w:spacing w:line="276" w:lineRule="auto"/>
        <w:jc w:val="both"/>
        <w:rPr>
          <w:rFonts w:asciiTheme="majorBidi" w:hAnsiTheme="majorBidi" w:cstheme="majorBidi"/>
          <w:sz w:val="28"/>
          <w:szCs w:val="28"/>
        </w:rPr>
      </w:pPr>
      <w:r>
        <w:rPr>
          <w:rFonts w:asciiTheme="majorBidi" w:hAnsiTheme="majorBidi" w:cstheme="majorBidi"/>
          <w:b/>
          <w:bCs/>
          <w:i/>
          <w:iCs/>
          <w:sz w:val="28"/>
          <w:szCs w:val="28"/>
        </w:rPr>
        <w:t>2.3 Genotyping</w:t>
      </w:r>
    </w:p>
    <w:p w14:paraId="289F39D6" w14:textId="3CDCE07B" w:rsidR="00B046BB" w:rsidRDefault="00B046BB" w:rsidP="00B046BB">
      <w:pPr>
        <w:spacing w:after="240" w:line="276" w:lineRule="auto"/>
        <w:ind w:firstLine="720"/>
        <w:jc w:val="both"/>
        <w:rPr>
          <w:rFonts w:asciiTheme="majorBidi" w:hAnsiTheme="majorBidi" w:cstheme="majorBidi"/>
          <w:sz w:val="28"/>
          <w:szCs w:val="28"/>
        </w:rPr>
      </w:pPr>
      <w:r w:rsidRPr="00B046BB">
        <w:rPr>
          <w:rFonts w:asciiTheme="majorBidi" w:hAnsiTheme="majorBidi" w:cstheme="majorBidi"/>
          <w:sz w:val="28"/>
          <w:szCs w:val="28"/>
        </w:rPr>
        <w:t>Venous blood samples were taken from each participant for genetic analysis. Insertion/deletion (I/D) polymorphisms in the angiotensin-converting enzyme (ACE) gene were identified using conventional polymerase chain reaction (PCR) techniques, followed by analysis using agarose gel electrophoresis. Based on these results, ACE genotypes were classified into II, ID, and DD, and further grouped into ACE II and non-II (ID/DD) categories for statistical analysis</w:t>
      </w:r>
      <w:r>
        <w:rPr>
          <w:rFonts w:asciiTheme="majorBidi" w:hAnsiTheme="majorBidi" w:cstheme="majorBidi"/>
          <w:sz w:val="28"/>
          <w:szCs w:val="28"/>
        </w:rPr>
        <w:t>.</w:t>
      </w:r>
    </w:p>
    <w:p w14:paraId="1D6AABDF" w14:textId="77777777" w:rsidR="00A25A0A" w:rsidRDefault="00A25A0A" w:rsidP="00B046BB">
      <w:pPr>
        <w:spacing w:after="240" w:line="276" w:lineRule="auto"/>
        <w:ind w:firstLine="720"/>
        <w:jc w:val="both"/>
        <w:rPr>
          <w:rFonts w:asciiTheme="majorBidi" w:hAnsiTheme="majorBidi" w:cstheme="majorBidi"/>
          <w:sz w:val="28"/>
          <w:szCs w:val="28"/>
        </w:rPr>
      </w:pPr>
    </w:p>
    <w:p w14:paraId="41E92F5B" w14:textId="77777777" w:rsidR="00A25A0A" w:rsidRDefault="00A25A0A" w:rsidP="00B046BB">
      <w:pPr>
        <w:spacing w:after="240" w:line="276" w:lineRule="auto"/>
        <w:ind w:firstLine="720"/>
        <w:jc w:val="both"/>
        <w:rPr>
          <w:rFonts w:asciiTheme="majorBidi" w:hAnsiTheme="majorBidi" w:cstheme="majorBidi"/>
          <w:sz w:val="28"/>
          <w:szCs w:val="28"/>
        </w:rPr>
      </w:pPr>
    </w:p>
    <w:p w14:paraId="26B7D2B2" w14:textId="5AAE33F5" w:rsidR="00B046BB" w:rsidRDefault="008D6593" w:rsidP="00B046BB">
      <w:pPr>
        <w:spacing w:after="240" w:line="276" w:lineRule="auto"/>
        <w:jc w:val="both"/>
        <w:rPr>
          <w:rFonts w:asciiTheme="majorBidi" w:hAnsiTheme="majorBidi" w:cstheme="majorBidi"/>
          <w:sz w:val="28"/>
          <w:szCs w:val="28"/>
        </w:rPr>
      </w:pPr>
      <w:r>
        <w:rPr>
          <w:rFonts w:asciiTheme="majorBidi" w:hAnsiTheme="majorBidi" w:cstheme="majorBidi"/>
          <w:b/>
          <w:bCs/>
          <w:i/>
          <w:iCs/>
          <w:sz w:val="28"/>
          <w:szCs w:val="28"/>
        </w:rPr>
        <w:lastRenderedPageBreak/>
        <w:t>2.4 Cardiovascular Measurements</w:t>
      </w:r>
    </w:p>
    <w:p w14:paraId="37C9EE4F" w14:textId="77777777" w:rsidR="008D6593" w:rsidRPr="008D6593" w:rsidRDefault="008D6593" w:rsidP="008D6593">
      <w:pPr>
        <w:spacing w:after="240" w:line="276" w:lineRule="auto"/>
        <w:ind w:firstLine="720"/>
        <w:jc w:val="both"/>
        <w:rPr>
          <w:rFonts w:asciiTheme="majorBidi" w:hAnsiTheme="majorBidi" w:cstheme="majorBidi"/>
          <w:sz w:val="28"/>
          <w:szCs w:val="28"/>
        </w:rPr>
      </w:pPr>
      <w:r w:rsidRPr="008D6593">
        <w:rPr>
          <w:rFonts w:asciiTheme="majorBidi" w:hAnsiTheme="majorBidi" w:cstheme="majorBidi"/>
          <w:sz w:val="28"/>
          <w:szCs w:val="28"/>
        </w:rPr>
        <w:t>Heart rate dynamics were the primary variable in this study and were defined as minute-by-minute changes in heart rate observed during physical activity. Resting heart rate was measured after participants rested in a supine position for 15 minutes under controlled conditions. Furthermore, the heart rate response during activity was assessed through 6 minutes of submaximal exercise on a stationary bicycle, performed before and after the exercise intervention. Heart rate was recorded at one-minute intervals throughout the exercise phase.</w:t>
      </w:r>
    </w:p>
    <w:p w14:paraId="58C82124" w14:textId="77777777" w:rsidR="008D6593" w:rsidRDefault="008D6593" w:rsidP="008D6593">
      <w:pPr>
        <w:spacing w:after="240" w:line="276" w:lineRule="auto"/>
        <w:ind w:firstLine="720"/>
        <w:jc w:val="both"/>
        <w:rPr>
          <w:rFonts w:asciiTheme="majorBidi" w:hAnsiTheme="majorBidi" w:cstheme="majorBidi"/>
          <w:sz w:val="28"/>
          <w:szCs w:val="28"/>
        </w:rPr>
      </w:pPr>
      <w:r w:rsidRPr="008D6593">
        <w:rPr>
          <w:rFonts w:asciiTheme="majorBidi" w:hAnsiTheme="majorBidi" w:cstheme="majorBidi"/>
          <w:sz w:val="28"/>
          <w:szCs w:val="28"/>
        </w:rPr>
        <w:t>To obtain a more comprehensive picture of the participants' cardiovascular condition, several supporting measurements were also performed. Cardiovascular endurance was evaluated using a 12-minute running test used to estimate maximal oxygen consumption capacity (</w:t>
      </w:r>
      <w:proofErr w:type="spellStart"/>
      <w:r w:rsidRPr="008D6593">
        <w:rPr>
          <w:rFonts w:asciiTheme="majorBidi" w:hAnsiTheme="majorBidi" w:cstheme="majorBidi"/>
          <w:sz w:val="28"/>
          <w:szCs w:val="28"/>
        </w:rPr>
        <w:t>VO₂max</w:t>
      </w:r>
      <w:proofErr w:type="spellEnd"/>
      <w:r w:rsidRPr="008D6593">
        <w:rPr>
          <w:rFonts w:asciiTheme="majorBidi" w:hAnsiTheme="majorBidi" w:cstheme="majorBidi"/>
          <w:sz w:val="28"/>
          <w:szCs w:val="28"/>
        </w:rPr>
        <w:t>). Additionally, blood pressure was measured using a calibrated digital sphygmomanometer, while plasma angiotensin-converting enzyme (ACE) levels were analyzed using an enzyme-linked immunosorbent assay (ELISA).</w:t>
      </w:r>
    </w:p>
    <w:p w14:paraId="17D33F90" w14:textId="7535FA1A" w:rsidR="008D6593" w:rsidRDefault="008D6593" w:rsidP="008D6593">
      <w:pPr>
        <w:spacing w:line="276" w:lineRule="auto"/>
        <w:jc w:val="both"/>
        <w:rPr>
          <w:rFonts w:asciiTheme="majorBidi" w:hAnsiTheme="majorBidi" w:cstheme="majorBidi"/>
          <w:sz w:val="28"/>
          <w:szCs w:val="28"/>
        </w:rPr>
      </w:pPr>
      <w:r>
        <w:rPr>
          <w:rFonts w:asciiTheme="majorBidi" w:hAnsiTheme="majorBidi" w:cstheme="majorBidi"/>
          <w:b/>
          <w:bCs/>
          <w:i/>
          <w:iCs/>
          <w:sz w:val="28"/>
          <w:szCs w:val="28"/>
        </w:rPr>
        <w:t xml:space="preserve">2.5 Statistical Analysis </w:t>
      </w:r>
    </w:p>
    <w:p w14:paraId="60B93E8A" w14:textId="5262271E" w:rsidR="008D6593" w:rsidRDefault="008D6593" w:rsidP="008D6593">
      <w:pPr>
        <w:spacing w:after="240" w:line="276" w:lineRule="auto"/>
        <w:ind w:firstLine="720"/>
        <w:jc w:val="both"/>
        <w:rPr>
          <w:rFonts w:asciiTheme="majorBidi" w:hAnsiTheme="majorBidi" w:cstheme="majorBidi"/>
          <w:sz w:val="28"/>
          <w:szCs w:val="28"/>
        </w:rPr>
      </w:pPr>
      <w:r w:rsidRPr="008D6593">
        <w:rPr>
          <w:rFonts w:asciiTheme="majorBidi" w:hAnsiTheme="majorBidi" w:cstheme="majorBidi"/>
          <w:sz w:val="28"/>
          <w:szCs w:val="28"/>
        </w:rPr>
        <w:t>Data analysis was performed using SPSS version 24. A normality test was performed as a prerequisite before inferential analysis. Comparisons before and after the intervention within one group were analyzed using the paired t-test, while differences between groups were analyzed using the independent t-test and the general linear model. A p-value &lt;0.05 was used as the limit of statistical significance</w:t>
      </w:r>
      <w:r>
        <w:rPr>
          <w:rFonts w:asciiTheme="majorBidi" w:hAnsiTheme="majorBidi" w:cstheme="majorBidi"/>
          <w:sz w:val="28"/>
          <w:szCs w:val="28"/>
        </w:rPr>
        <w:t>.</w:t>
      </w:r>
    </w:p>
    <w:p w14:paraId="464FCE11" w14:textId="3A6C65B8" w:rsidR="008D6593" w:rsidRDefault="008D6593" w:rsidP="008D6593">
      <w:pPr>
        <w:spacing w:line="276" w:lineRule="auto"/>
        <w:jc w:val="both"/>
        <w:rPr>
          <w:rFonts w:asciiTheme="majorBidi" w:hAnsiTheme="majorBidi" w:cstheme="majorBidi"/>
          <w:sz w:val="28"/>
          <w:szCs w:val="28"/>
        </w:rPr>
      </w:pPr>
      <w:r>
        <w:rPr>
          <w:rFonts w:asciiTheme="majorBidi" w:hAnsiTheme="majorBidi" w:cstheme="majorBidi"/>
          <w:b/>
          <w:bCs/>
          <w:i/>
          <w:iCs/>
          <w:sz w:val="28"/>
          <w:szCs w:val="28"/>
        </w:rPr>
        <w:t>3. Results</w:t>
      </w:r>
    </w:p>
    <w:p w14:paraId="1E476AF6" w14:textId="2F7F8850" w:rsidR="008D6593" w:rsidRPr="008D6593" w:rsidRDefault="008D6593" w:rsidP="008D6593">
      <w:pPr>
        <w:spacing w:after="240" w:line="276" w:lineRule="auto"/>
        <w:ind w:firstLine="720"/>
        <w:jc w:val="both"/>
        <w:rPr>
          <w:rFonts w:asciiTheme="majorBidi" w:hAnsiTheme="majorBidi" w:cstheme="majorBidi"/>
          <w:sz w:val="28"/>
          <w:szCs w:val="28"/>
        </w:rPr>
      </w:pPr>
      <w:r w:rsidRPr="008D6593">
        <w:rPr>
          <w:rFonts w:asciiTheme="majorBidi" w:hAnsiTheme="majorBidi" w:cstheme="majorBidi"/>
          <w:sz w:val="28"/>
          <w:szCs w:val="28"/>
        </w:rPr>
        <w:t>Heart rate analysis results during a 6-minute stationary bicycle exercise load test showed a consistent decrease in heart rate after a 3-month fartlek training program. This pattern of decrease was observed in the genotype II group, the non-II group, and the overall sample. The decrease in heart rate occurred at all measurement points during the exercise (HR-CE 1 to HR-CE 6) and was statistically significant</w:t>
      </w:r>
    </w:p>
    <w:p w14:paraId="7901F23C" w14:textId="5AB6D544" w:rsidR="008D6593" w:rsidRPr="008D6593" w:rsidRDefault="008D6593" w:rsidP="008D6593">
      <w:pPr>
        <w:spacing w:after="240" w:line="276" w:lineRule="auto"/>
        <w:ind w:firstLine="720"/>
        <w:jc w:val="both"/>
        <w:rPr>
          <w:rFonts w:asciiTheme="majorBidi" w:hAnsiTheme="majorBidi" w:cstheme="majorBidi"/>
          <w:sz w:val="28"/>
          <w:szCs w:val="28"/>
        </w:rPr>
      </w:pPr>
      <w:r w:rsidRPr="008D6593">
        <w:rPr>
          <w:rFonts w:asciiTheme="majorBidi" w:hAnsiTheme="majorBidi" w:cstheme="majorBidi"/>
          <w:sz w:val="28"/>
          <w:szCs w:val="28"/>
        </w:rPr>
        <w:t xml:space="preserve">In the ACE II genotype group, the mean pre-intervention heart rate showed a gradual increase with increasing exercise duration, from 122.0±10.9 beats/min⁻¹ in the first minute to 150.0±16.2 beats/min⁻¹ in the sixth minute. Following the exercise intervention, heart rate values ​​decreased across all </w:t>
      </w:r>
      <w:r w:rsidRPr="008D6593">
        <w:rPr>
          <w:rFonts w:asciiTheme="majorBidi" w:hAnsiTheme="majorBidi" w:cstheme="majorBidi"/>
          <w:sz w:val="28"/>
          <w:szCs w:val="28"/>
        </w:rPr>
        <w:lastRenderedPageBreak/>
        <w:t>minutes of measurement, ranging from 109.1±14.5 beats·min⁻¹ at HR-CE 1 to 141.7±15.5 beats·min⁻¹ at HR-CE 6. The largest decrease occurred in the initial minutes of exercise, specifically at HR-CE 1, at 12.9±3.6 beats·min⁻¹, and tended to decrease gradually until HR-CE 6, at 8.3±0.7 beats·min⁻¹. All these differences demonstrated strong statistical significance (p &lt; 0.001)</w:t>
      </w:r>
    </w:p>
    <w:p w14:paraId="37BEDCD7" w14:textId="302B0750" w:rsidR="008D6593" w:rsidRPr="008D6593" w:rsidRDefault="008D6593" w:rsidP="008D6593">
      <w:pPr>
        <w:spacing w:after="240" w:line="276" w:lineRule="auto"/>
        <w:ind w:firstLine="720"/>
        <w:jc w:val="both"/>
        <w:rPr>
          <w:rFonts w:asciiTheme="majorBidi" w:hAnsiTheme="majorBidi" w:cstheme="majorBidi"/>
          <w:sz w:val="28"/>
          <w:szCs w:val="28"/>
        </w:rPr>
      </w:pPr>
      <w:r w:rsidRPr="008D6593">
        <w:rPr>
          <w:rFonts w:asciiTheme="majorBidi" w:hAnsiTheme="majorBidi" w:cstheme="majorBidi"/>
          <w:sz w:val="28"/>
          <w:szCs w:val="28"/>
        </w:rPr>
        <w:t>A similar response pattern was also found in the non-II genotype group. Before intervention, the mean heart rate increased from 124.0±12.8 beats·minute⁻¹ at HR-CE 1 to 155.5±11.8 beats·minute⁻¹ at HR-CE 6. After following the fartlek training program, there was a consistent decrease in heart rate at every minute of exercise, with values ​​ranging from 112.4±13.7 beats·minute⁻¹ at HR-CE 1 to 147.3±10.1 beats·minute⁻¹ on HR-CE 6. The magnitude of the decrease in heart rate ranged from 11.6±0.9 beats·minute⁻¹ in the first minute and decreased to 8.2±1.7 beats·minute⁻¹ in the sixth minute, with all changes being statistically significant (p &lt; 0.001)</w:t>
      </w:r>
    </w:p>
    <w:p w14:paraId="02243FC6" w14:textId="43AF4A6C" w:rsidR="008D6593" w:rsidRPr="008D6593" w:rsidRDefault="008D6593" w:rsidP="008D6593">
      <w:pPr>
        <w:spacing w:after="240" w:line="276" w:lineRule="auto"/>
        <w:ind w:firstLine="720"/>
        <w:jc w:val="both"/>
        <w:rPr>
          <w:rFonts w:asciiTheme="majorBidi" w:hAnsiTheme="majorBidi" w:cstheme="majorBidi"/>
          <w:sz w:val="28"/>
          <w:szCs w:val="28"/>
        </w:rPr>
      </w:pPr>
      <w:r w:rsidRPr="008D6593">
        <w:rPr>
          <w:rFonts w:asciiTheme="majorBidi" w:hAnsiTheme="majorBidi" w:cstheme="majorBidi"/>
          <w:sz w:val="28"/>
          <w:szCs w:val="28"/>
        </w:rPr>
        <w:t>When viewed across the entire sample, mean pre-intervention heart rate increased progressively from 123.1±12.0 beats·min⁻¹ at HR-CE 1 to 153.0±14.1 beats·min⁻¹ at HR-CE 6. After the intervention, heart rate showed a consistent decrease across all measurement points, with values ​​ranging from 110.9±14.0 beats·min⁻¹ at HR-CE 1 to 144.9±12.8 beats·min⁻¹ at HR-CE 6. The largest decrease was found in the first minute of exercise at 12.2±2.0 beats·min⁻¹, which then decreased gradually until the sixth minute at 8.1±1.3 beats·min⁻¹. All changes were statistically significant (p &lt; 0.001)</w:t>
      </w:r>
    </w:p>
    <w:p w14:paraId="11E802F5" w14:textId="4F5506A1" w:rsidR="008D6593" w:rsidRDefault="008D6593" w:rsidP="008D6593">
      <w:pPr>
        <w:spacing w:after="240" w:line="276" w:lineRule="auto"/>
        <w:ind w:firstLine="720"/>
        <w:jc w:val="both"/>
        <w:rPr>
          <w:rFonts w:asciiTheme="majorBidi" w:hAnsiTheme="majorBidi" w:cstheme="majorBidi"/>
          <w:sz w:val="28"/>
          <w:szCs w:val="28"/>
        </w:rPr>
      </w:pPr>
      <w:r w:rsidRPr="008D6593">
        <w:rPr>
          <w:rFonts w:asciiTheme="majorBidi" w:hAnsiTheme="majorBidi" w:cstheme="majorBidi"/>
          <w:sz w:val="28"/>
          <w:szCs w:val="28"/>
        </w:rPr>
        <w:t>Comparatively, the group with the ACE II genotype showed a greater decrease in heart rate per minute of exercise than the non-ACE II group. The difference was most pronounced in the initial minutes of exercise, particularly the first to second minutes, indicating faster and more efficient cardiovascular adaptation in the ACE II genotype group</w:t>
      </w:r>
      <w:r>
        <w:rPr>
          <w:rFonts w:asciiTheme="majorBidi" w:hAnsiTheme="majorBidi" w:cstheme="majorBidi"/>
          <w:sz w:val="28"/>
          <w:szCs w:val="28"/>
        </w:rPr>
        <w:t>.</w:t>
      </w:r>
    </w:p>
    <w:p w14:paraId="7DB171BC" w14:textId="7D4D3AC0" w:rsidR="008D6593" w:rsidRDefault="008D6593" w:rsidP="008D6593">
      <w:pPr>
        <w:spacing w:line="276" w:lineRule="auto"/>
        <w:jc w:val="both"/>
        <w:rPr>
          <w:rFonts w:asciiTheme="majorBidi" w:hAnsiTheme="majorBidi" w:cstheme="majorBidi"/>
          <w:sz w:val="28"/>
          <w:szCs w:val="28"/>
        </w:rPr>
      </w:pPr>
      <w:r>
        <w:rPr>
          <w:rFonts w:asciiTheme="majorBidi" w:hAnsiTheme="majorBidi" w:cstheme="majorBidi"/>
          <w:b/>
          <w:bCs/>
          <w:i/>
          <w:iCs/>
          <w:sz w:val="28"/>
          <w:szCs w:val="28"/>
        </w:rPr>
        <w:t>4. Discussion</w:t>
      </w:r>
    </w:p>
    <w:p w14:paraId="24C77BAE" w14:textId="271F3E59" w:rsidR="008D6593" w:rsidRPr="008D6593" w:rsidRDefault="008D6593" w:rsidP="008D6593">
      <w:pPr>
        <w:spacing w:after="240" w:line="276" w:lineRule="auto"/>
        <w:ind w:firstLine="720"/>
        <w:jc w:val="both"/>
        <w:rPr>
          <w:rFonts w:asciiTheme="majorBidi" w:hAnsiTheme="majorBidi" w:cstheme="majorBidi"/>
          <w:sz w:val="28"/>
          <w:szCs w:val="28"/>
        </w:rPr>
      </w:pPr>
      <w:r w:rsidRPr="008D6593">
        <w:rPr>
          <w:rFonts w:asciiTheme="majorBidi" w:hAnsiTheme="majorBidi" w:cstheme="majorBidi"/>
          <w:sz w:val="28"/>
          <w:szCs w:val="28"/>
        </w:rPr>
        <w:t xml:space="preserve">The results of this study indicate that the heart rate response during submaximal exercise significantly decreased after participants participated in a fartlek training program. This decrease was more pronounced in individuals with the ACE II genotype. The lower heart rate response in this group likely reflects better cardiovascular efficiency and lower peripheral vascular resistance, consistent with the relatively lower ACE enzyme activity in allele I carriers. </w:t>
      </w:r>
      <w:r w:rsidRPr="008D6593">
        <w:rPr>
          <w:rFonts w:asciiTheme="majorBidi" w:hAnsiTheme="majorBidi" w:cstheme="majorBidi"/>
          <w:sz w:val="28"/>
          <w:szCs w:val="28"/>
        </w:rPr>
        <w:lastRenderedPageBreak/>
        <w:t>These physiological conditions are known to contribute to reduced cardiovascular workload during submaximal exercise and more efficient autonomic regulation in response to endurance-based exercise</w:t>
      </w:r>
      <w:r>
        <w:rPr>
          <w:rFonts w:asciiTheme="majorBidi" w:hAnsiTheme="majorBidi" w:cstheme="majorBidi"/>
          <w:sz w:val="28"/>
          <w:szCs w:val="28"/>
        </w:rPr>
        <w:t>.</w:t>
      </w:r>
    </w:p>
    <w:p w14:paraId="14D22545" w14:textId="1A721F16" w:rsidR="008D6593" w:rsidRPr="008D6593" w:rsidRDefault="008D6593" w:rsidP="008D6593">
      <w:pPr>
        <w:spacing w:after="240" w:line="276" w:lineRule="auto"/>
        <w:ind w:firstLine="720"/>
        <w:jc w:val="both"/>
        <w:rPr>
          <w:rFonts w:asciiTheme="majorBidi" w:hAnsiTheme="majorBidi" w:cstheme="majorBidi"/>
          <w:sz w:val="28"/>
          <w:szCs w:val="28"/>
        </w:rPr>
      </w:pPr>
      <w:r w:rsidRPr="008D6593">
        <w:rPr>
          <w:rFonts w:asciiTheme="majorBidi" w:hAnsiTheme="majorBidi" w:cstheme="majorBidi"/>
          <w:sz w:val="28"/>
          <w:szCs w:val="28"/>
        </w:rPr>
        <w:t>The findings presented in the Table confirm the role of angiotensin-converting enzyme (ACE) gene polymorphisms in modulating heart rate dynamics, particularly during exercise following a fartlek intervention. The results of this study indicate that individuals with the ACE II genotype exhibit different heart rate response patterns than individuals with other genotypes. These differences reflect variations in autonomic nervous system control and cardiovascular regulation</w:t>
      </w:r>
      <w:r>
        <w:rPr>
          <w:rFonts w:asciiTheme="majorBidi" w:hAnsiTheme="majorBidi" w:cstheme="majorBidi"/>
          <w:sz w:val="28"/>
          <w:szCs w:val="28"/>
        </w:rPr>
        <w:t>.</w:t>
      </w:r>
    </w:p>
    <w:p w14:paraId="21F8BDAC" w14:textId="39089CBF" w:rsidR="008D6593" w:rsidRPr="008D6593" w:rsidRDefault="008D6593" w:rsidP="008D6593">
      <w:pPr>
        <w:spacing w:after="240" w:line="276" w:lineRule="auto"/>
        <w:ind w:firstLine="720"/>
        <w:jc w:val="both"/>
        <w:rPr>
          <w:rFonts w:asciiTheme="majorBidi" w:hAnsiTheme="majorBidi" w:cstheme="majorBidi"/>
          <w:sz w:val="28"/>
          <w:szCs w:val="28"/>
        </w:rPr>
      </w:pPr>
      <w:r w:rsidRPr="008D6593">
        <w:rPr>
          <w:rFonts w:asciiTheme="majorBidi" w:hAnsiTheme="majorBidi" w:cstheme="majorBidi"/>
          <w:sz w:val="28"/>
          <w:szCs w:val="28"/>
        </w:rPr>
        <w:t xml:space="preserve">Consistent with these findings, several previous studies have reported an association between ACE gene polymorphisms, including the I allele, and improved endurance performance, which is indirectly related to cardiovascular responses in athletes </w:t>
      </w:r>
      <w:r w:rsidRPr="008D6593">
        <w:rPr>
          <w:rFonts w:asciiTheme="majorBidi" w:hAnsiTheme="majorBidi" w:cstheme="majorBidi"/>
          <w:sz w:val="28"/>
          <w:szCs w:val="28"/>
        </w:rPr>
        <w:fldChar w:fldCharType="begin" w:fldLock="1"/>
      </w:r>
      <w:r w:rsidRPr="008D6593">
        <w:rPr>
          <w:rFonts w:asciiTheme="majorBidi" w:hAnsiTheme="majorBidi" w:cstheme="majorBidi"/>
          <w:sz w:val="28"/>
          <w:szCs w:val="28"/>
        </w:rPr>
        <w:instrText>ADDIN CSL_CITATION {"citationItems":[{"id":"ITEM-1","itemData":{"DOI":"10.1177/1470320318761725","author":[{"dropping-particle":"","family":"Alves","given":"Cléber R","non-dropping-particle":"","parse-names":false,"suffix":""},{"dropping-particle":"","family":"Fernandes","given":"Tiago","non-dropping-particle":"","parse-names":false,"suffix":""},{"dropping-particle":"","family":"Lemos","given":"José R","non-dropping-particle":"","parse-names":false,"suffix":""},{"dropping-particle":"","family":"Magalhães","given":"Flávio de Castro","non-dropping-particle":"","parse-names":false,"suffix":""},{"dropping-particle":"","family":"Trombetta","given":"Ivani C","non-dropping-particle":"","parse-names":false,"suffix":""},{"dropping-particle":"","family":"Alves","given":"Guilherme Barreto","non-dropping-particle":"","parse-names":false,"suffix":""},{"dropping-particle":"da","family":"Mota","given":"Glória de Fátima Alves","non-dropping-particle":"","parse-names":false,"suffix":""},{"dropping-particle":"","family":"Dias","given":"Rodrigo Gonçalves","non-dropping-particle":"","parse-names":false,"suffix":""},{"dropping-particle":"","family":"Pereira","given":"Alexandre C","non-dropping-particle":"","parse-names":false,"suffix":""},{"dropping-particle":"","family":"Krieger","given":"José Eduardo","non-dropping-particle":"","parse-names":false,"suffix":""},{"dropping-particle":"","family":"Negrão","given":"Carlos Eduardo","non-dropping-particle":"","parse-names":false,"suffix":""},{"dropping-particle":"de","family":"Oliveira","given":"Edilamar Menezes","non-dropping-particle":"","parse-names":false,"suffix":""}],"container-title":"Journal of the Renin-Angiotensin-Aldosterone System","id":"ITEM-1","issued":{"date-parts":[["2018"]]},"title":"Aerobic Exercise Training Differentially Affects ACE C- And N-Domain Activities in Humans: Interactions With &lt;i&gt;ACE I/D&lt;/I&gt; Polymorphism and Association With Vascular Reactivity","type":"article"},"uris":["http://www.mendeley.com/documents/?uuid=d6f6fbb8-4f25-4585-84b6-0d462beba07d"]},{"id":"ITEM-2","itemData":{"DOI":"10.3390/genes13101798","author":[{"dropping-particle":"","family":"Gasser","given":"Benedikt","non-dropping-particle":"","parse-names":false,"suffix":""},{"dropping-particle":"","family":"Flück","given":"Martin","non-dropping-particle":"","parse-names":false,"suffix":""},{"dropping-particle":"","family":"Frey","given":"Walter O","non-dropping-particle":"","parse-names":false,"suffix":""},{"dropping-particle":"","family":"Valdivieso","given":"Paola","non-dropping-particle":"","parse-names":false,"suffix":""},{"dropping-particle":"","family":"Spörri","given":"Jörg","non-dropping-particle":"","parse-names":false,"suffix":""}],"container-title":"Genes","id":"ITEM-2","issued":{"date-parts":[["2022"]]},"title":"Association of Gene Variants for Mechanical and Metabolic Muscle Quality With Cardiorespiratory and Muscular Variables Related to Performance in Skiing Athletes","type":"article"},"uris":["http://www.mendeley.com/documents/?uuid=c7aacaaa-f409-43e5-aa6d-fe68744f312b"]}],"mendeley":{"formattedCitation":"(Alves et al., 2018; Gasser et al., 2022)","plainTextFormattedCitation":"(Alves et al., 2018; Gasser et al., 2022)","previouslyFormattedCitation":"(Alves et al., 2018; Gasser et al., 2022)"},"properties":{"noteIndex":0},"schema":"https://github.com/citation-style-language/schema/raw/master/csl-citation.json"}</w:instrText>
      </w:r>
      <w:r w:rsidRPr="008D6593">
        <w:rPr>
          <w:rFonts w:asciiTheme="majorBidi" w:hAnsiTheme="majorBidi" w:cstheme="majorBidi"/>
          <w:sz w:val="28"/>
          <w:szCs w:val="28"/>
        </w:rPr>
        <w:fldChar w:fldCharType="separate"/>
      </w:r>
      <w:r w:rsidRPr="008D6593">
        <w:rPr>
          <w:rFonts w:asciiTheme="majorBidi" w:hAnsiTheme="majorBidi" w:cstheme="majorBidi"/>
          <w:sz w:val="28"/>
          <w:szCs w:val="28"/>
        </w:rPr>
        <w:t>(Alves et al., 2018; Gasser et al., 2022)</w:t>
      </w:r>
      <w:r w:rsidRPr="008D6593">
        <w:rPr>
          <w:rFonts w:asciiTheme="majorBidi" w:hAnsiTheme="majorBidi" w:cstheme="majorBidi"/>
          <w:sz w:val="28"/>
          <w:szCs w:val="28"/>
        </w:rPr>
        <w:fldChar w:fldCharType="end"/>
      </w:r>
      <w:r w:rsidRPr="008D6593">
        <w:rPr>
          <w:rFonts w:asciiTheme="majorBidi" w:hAnsiTheme="majorBidi" w:cstheme="majorBidi"/>
          <w:sz w:val="28"/>
          <w:szCs w:val="28"/>
        </w:rPr>
        <w:t xml:space="preserve">. Furthermore, aerobic exercise has been shown to positively impact heart rate variability, an important indicator of autonomic function and cardiovascular health </w:t>
      </w:r>
      <w:r w:rsidRPr="008D6593">
        <w:rPr>
          <w:rFonts w:asciiTheme="majorBidi" w:hAnsiTheme="majorBidi" w:cstheme="majorBidi"/>
          <w:sz w:val="28"/>
          <w:szCs w:val="28"/>
        </w:rPr>
        <w:fldChar w:fldCharType="begin" w:fldLock="1"/>
      </w:r>
      <w:r w:rsidRPr="008D6593">
        <w:rPr>
          <w:rFonts w:asciiTheme="majorBidi" w:hAnsiTheme="majorBidi" w:cstheme="majorBidi"/>
          <w:sz w:val="28"/>
          <w:szCs w:val="28"/>
        </w:rPr>
        <w:instrText>ADDIN CSL_CITATION {"citationItems":[{"id":"ITEM-1","itemData":{"DOI":"10.3390/genes14051100","author":[{"dropping-particle":"","family":"Gasser","given":"Benedikt","non-dropping-particle":"","parse-names":false,"suffix":""},{"dropping-particle":"","family":"Niederseer","given":"David","non-dropping-particle":"","parse-names":false,"suffix":""},{"dropping-particle":"","family":"Frey","given":"Walter O","non-dropping-particle":"","parse-names":false,"suffix":""},{"dropping-particle":"","family":"Catuogno","given":"Silvio","non-dropping-particle":"","parse-names":false,"suffix":""},{"dropping-particle":"","family":"Flück","given":"Martin","non-dropping-particle":"","parse-names":false,"suffix":""}],"container-title":"Genes","id":"ITEM-1","issued":{"date-parts":[["2023"]]},"title":"ACE-I/D Allele Modulates Improvements of Cardiorespiratory Function and Muscle Performance With Interval-Type Exercise","type":"article"},"uris":["http://www.mendeley.com/documents/?uuid=23fb2214-ddbc-453f-b94d-ce27dae1039e"]},{"id":"ITEM-2","itemData":{"DOI":"10.3390/ijerph20021292","author":[{"dropping-particle":"de","family":"Andrade","given":"Paulo Evaristo","non-dropping-particle":"","parse-names":false,"suffix":""},{"dropping-particle":"","family":"Zangirolami-Raimundo","given":"Juliana","non-dropping-particle":"","parse-names":false,"suffix":""},{"dropping-particle":"","family":"Morais","given":"Tassiane Cristina","non-dropping-particle":"","parse-names":false,"suffix":""},{"dropping-particle":"de","family":"Abreu","given":"Luíz Carlos","non-dropping-particle":"","parse-names":false,"suffix":""},{"dropping-particle":"","family":"Siqueira","given":"Carlos Eduardo","non-dropping-particle":"","parse-names":false,"suffix":""},{"dropping-particle":"","family":"Sorpreso","given":"Isabel Cristina Espósito","non-dropping-particle":"","parse-names":false,"suffix":""},{"dropping-particle":"","family":"Soares","given":"José Maria","non-dropping-particle":"","parse-names":false,"suffix":""},{"dropping-particle":"","family":"Raimundo","given":"Rodrigo Daminello","non-dropping-particle":"","parse-names":false,"suffix":""}],"container-title":"International Journal of Environmental Research and Public Health","id":"ITEM-2","issued":{"date-parts":[["2023"]]},"title":"Cardiac Behavior and Heart Rate Variability in Elderly Hypertensive Individuals During Aerobic Exercise: A Non-Randomized Controlled Study","type":"article"},"uris":["http://www.mendeley.com/documents/?uuid=121555c3-5f1c-4d8a-ab77-992456f246ac"]},{"id":"ITEM-3","itemData":{"DOI":"10.3390/medicina61030527","author":[{"dropping-particle":"","family":"Basri","given":"Ahmed M","non-dropping-particle":"","parse-names":false,"suffix":""},{"dropping-particle":"","family":"Turki","given":"Ahmad F","non-dropping-particle":"","parse-names":false,"suffix":""}],"container-title":"Medicina","id":"ITEM-3","issued":{"date-parts":[["2025"]]},"title":"Evaluating Heart Rate Variability as a Biomarker for Autonomic Function in Parkinson’s Disease Rehabilitation: A Clustering-Based Analysis of Exercise-Induced Changes","type":"article"},"uris":["http://www.mendeley.com/documents/?uuid=02e511cc-8ffd-42e9-89e8-a10830ceafc5"]}],"mendeley":{"formattedCitation":"(Andrade et al., 2023; Basri &amp; Turki, 2025; Gasser et al., 2023)","plainTextFormattedCitation":"(Andrade et al., 2023; Basri &amp; Turki, 2025; Gasser et al., 2023)","previouslyFormattedCitation":"(Andrade et al., 2023; Basri &amp; Turki, 2025; Gasser et al., 2023)"},"properties":{"noteIndex":0},"schema":"https://github.com/citation-style-language/schema/raw/master/csl-citation.json"}</w:instrText>
      </w:r>
      <w:r w:rsidRPr="008D6593">
        <w:rPr>
          <w:rFonts w:asciiTheme="majorBidi" w:hAnsiTheme="majorBidi" w:cstheme="majorBidi"/>
          <w:sz w:val="28"/>
          <w:szCs w:val="28"/>
        </w:rPr>
        <w:fldChar w:fldCharType="separate"/>
      </w:r>
      <w:r w:rsidRPr="008D6593">
        <w:rPr>
          <w:rFonts w:asciiTheme="majorBidi" w:hAnsiTheme="majorBidi" w:cstheme="majorBidi"/>
          <w:sz w:val="28"/>
          <w:szCs w:val="28"/>
        </w:rPr>
        <w:t>(Andrade et al., 2023; Basri &amp; Turki, 2025; Gasser et al., 2023)</w:t>
      </w:r>
      <w:r w:rsidRPr="008D6593">
        <w:rPr>
          <w:rFonts w:asciiTheme="majorBidi" w:hAnsiTheme="majorBidi" w:cstheme="majorBidi"/>
          <w:sz w:val="28"/>
          <w:szCs w:val="28"/>
        </w:rPr>
        <w:fldChar w:fldCharType="end"/>
      </w:r>
      <w:r w:rsidRPr="008D6593">
        <w:rPr>
          <w:rFonts w:asciiTheme="majorBidi" w:hAnsiTheme="majorBidi" w:cstheme="majorBidi"/>
          <w:sz w:val="28"/>
          <w:szCs w:val="28"/>
        </w:rPr>
        <w:t>. However, the specific influence of ACE gene polymorphisms on heart rate dynamics during submaximal exercise requires further study to obtain more conclusive conclusions. The interplay between genetic predisposition and exercise-induced physiological adaptations illustrates the complexity of cardiovascular and autonomic regulatory mechanisms in response to physical stress</w:t>
      </w:r>
      <w:r>
        <w:rPr>
          <w:rFonts w:asciiTheme="majorBidi" w:hAnsiTheme="majorBidi" w:cstheme="majorBidi"/>
          <w:sz w:val="28"/>
          <w:szCs w:val="28"/>
        </w:rPr>
        <w:t>.</w:t>
      </w:r>
    </w:p>
    <w:p w14:paraId="05F14FE8" w14:textId="4488393C" w:rsidR="008D6593" w:rsidRPr="008D6593" w:rsidRDefault="008D6593" w:rsidP="008D6593">
      <w:pPr>
        <w:spacing w:after="240" w:line="276" w:lineRule="auto"/>
        <w:ind w:firstLine="720"/>
        <w:jc w:val="both"/>
        <w:rPr>
          <w:rFonts w:asciiTheme="majorBidi" w:hAnsiTheme="majorBidi" w:cstheme="majorBidi"/>
          <w:sz w:val="28"/>
          <w:szCs w:val="28"/>
        </w:rPr>
      </w:pPr>
      <w:r w:rsidRPr="008D6593">
        <w:rPr>
          <w:rFonts w:asciiTheme="majorBidi" w:hAnsiTheme="majorBidi" w:cstheme="majorBidi"/>
          <w:sz w:val="28"/>
          <w:szCs w:val="28"/>
        </w:rPr>
        <w:t xml:space="preserve">Physiological studies have shown that lower ACE activity, commonly associated with the presence of the I allele, can affect cardiovascular responses, including heart rate variability </w:t>
      </w:r>
      <w:r w:rsidRPr="008D6593">
        <w:rPr>
          <w:rFonts w:asciiTheme="majorBidi" w:hAnsiTheme="majorBidi" w:cstheme="majorBidi"/>
          <w:sz w:val="28"/>
          <w:szCs w:val="28"/>
        </w:rPr>
        <w:fldChar w:fldCharType="begin" w:fldLock="1"/>
      </w:r>
      <w:r w:rsidRPr="008D6593">
        <w:rPr>
          <w:rFonts w:asciiTheme="majorBidi" w:hAnsiTheme="majorBidi" w:cstheme="majorBidi"/>
          <w:sz w:val="28"/>
          <w:szCs w:val="28"/>
        </w:rPr>
        <w:instrText>ADDIN CSL_CITATION {"citationItems":[{"id":"ITEM-1","itemData":{"DOI":"10.21203/rs.3.rs-3006317/v1","author":[{"dropping-particle":"","family":"Soares","given":"Nivaldo de Jesus Silva","non-dropping-particle":"","parse-names":false,"suffix":""},{"dropping-particle":"","family":"Senna","given":"Carlan","non-dropping-particle":"","parse-names":false,"suffix":""},{"dropping-particle":"","family":"Filho","given":"Carlos Alberto Alves Dias","non-dropping-particle":"","parse-names":false,"suffix":""},{"dropping-particle":"","family":"Rodrigues","given":"Bruno","non-dropping-particle":"","parse-names":false,"suffix":""},{"dropping-particle":"","family":"Irigoyen","given":"Maria Cláudia","non-dropping-particle":"","parse-names":false,"suffix":""},{"dropping-particle":"","family":"Mendes","given":"Vinícius","non-dropping-particle":"","parse-names":false,"suffix":""},{"dropping-particle":"","family":"Ferreira","given":"Andressa Bezerra","non-dropping-particle":"","parse-names":false,"suffix":""},{"dropping-particle":"","family":"Dias","given":"Carlos José Moraes","non-dropping-particle":"","parse-names":false,"suffix":""},{"dropping-particle":"","family":"Mostarda","given":"Cristiano Teixeira","non-dropping-particle":"","parse-names":false,"suffix":""}],"id":"ITEM-1","issued":{"date-parts":[["2023"]]},"title":"Title: Regular Physical Activity Can Contribute to Preventing Cardiovascular Risk Factors in Adolescents With ACE Gene Polymorphism","type":"article"},"uris":["http://www.mendeley.com/documents/?uuid=20b71c38</w:instrText>
      </w:r>
      <w:r w:rsidRPr="008D6593">
        <w:rPr>
          <w:rFonts w:asciiTheme="majorBidi" w:hAnsiTheme="majorBidi" w:cstheme="majorBidi" w:hint="eastAsia"/>
          <w:sz w:val="28"/>
          <w:szCs w:val="28"/>
        </w:rPr>
        <w:instrText>-6065-48fa-b367-e49425526683"]},{"id":"ITEM-2","itemData":{"DOI":"10.3390/ijerph18073443","author":[{"dropping-particle":"","family":"Montes‐de‐Oca‐García","given":"Adrián","non-dropping-particle":"","parse-names":false,"suffix":""},{"dropping-particle":"","family":"Pérez‐Bey","given":"Alejandro","non-dropping-particle":"","parse-names":false,"suffix":""},{"dropping-particle":"","family":"Velázquez‐Díaz","given":"Daniel","non-dropping-particle":"","parse-names":false,"suffix":""},{"dropping-particle":"","family":"Corral‐Pérez","given":"Juan","non-dropping-particle":"","parse-names":false,"suffix":""},{"dropping-particle":"","family":"Opazo‐Díaz","given":"Edgardo","non-dropping-particle":"","parse-names":false,"suffix":""},{"dropping-particle":"","family":"Rebollo‐Ramos","given":"María","non-dropping-particle":"","parse-names":false,"suffix":""},{"dropping-particle":"","family":"Gómez‐Gallego","given":"Félix","non-dropping-particle":"","parse-names":false,"suffix":""},{"dropping-particle":"","family":"Cuenca‐García","given":"Magdalena","non-dropping-particle":"","parse-names":false,"suffix":""},{"dropping-particle":"","family":"Casals","given":"Cristina","non-dropping-particle":"","parse-names":false,"suffix":""},{"dropping-particle":"","family":"Ponce‐Gon</w:instrText>
      </w:r>
      <w:r w:rsidRPr="008D6593">
        <w:rPr>
          <w:rFonts w:asciiTheme="majorBidi" w:hAnsiTheme="majorBidi" w:cstheme="majorBidi"/>
          <w:sz w:val="28"/>
          <w:szCs w:val="28"/>
        </w:rPr>
        <w:instrText>zález","given":"Jesús Gustavo","non-dropping-particle":"","parse-names":false,"suffix":""}],"container-title":"International Journal of Environmental Research and Public Health","id":"ITEM-2","issued":{"date-parts":[["2021"]]},"title":"Influence of ACE Gene I/D Polymorphism on Cardiometabolic Risk, Maximal Fat Oxidation, Cardiorespiratory Fitness, Diet and Physical Activity in Young Adults","type":"article"},"uris":["http://www.mendeley.com/documents/?uuid=60de3be0-f401-41eb-8eed-15d9f1ba6172"]}],"mendele</w:instrText>
      </w:r>
      <w:r w:rsidRPr="008D6593">
        <w:rPr>
          <w:rFonts w:asciiTheme="majorBidi" w:hAnsiTheme="majorBidi" w:cstheme="majorBidi" w:hint="eastAsia"/>
          <w:sz w:val="28"/>
          <w:szCs w:val="28"/>
        </w:rPr>
        <w:instrText>y":{"formattedCitation":"(Montes‐de‐Oca‐García et al., 2021; Soares et al., 2023)","plainTextFormattedCitation":"(Montes‐de‐Oca‐García et al., 2021; Soares et al., 2023)","previouslyFormattedCitation":"(Montes‐de‐Oca‐García et al., 2021; Soares et al., 20</w:instrText>
      </w:r>
      <w:r w:rsidRPr="008D6593">
        <w:rPr>
          <w:rFonts w:asciiTheme="majorBidi" w:hAnsiTheme="majorBidi" w:cstheme="majorBidi"/>
          <w:sz w:val="28"/>
          <w:szCs w:val="28"/>
        </w:rPr>
        <w:instrText>23)"},"properties":{"noteIndex":0},"schema":"https://github.com/citation-style-language/schema/raw/master/csl-citation.json"}</w:instrText>
      </w:r>
      <w:r w:rsidRPr="008D6593">
        <w:rPr>
          <w:rFonts w:asciiTheme="majorBidi" w:hAnsiTheme="majorBidi" w:cstheme="majorBidi"/>
          <w:sz w:val="28"/>
          <w:szCs w:val="28"/>
        </w:rPr>
        <w:fldChar w:fldCharType="separate"/>
      </w:r>
      <w:r w:rsidRPr="008D6593">
        <w:rPr>
          <w:rFonts w:asciiTheme="majorBidi" w:hAnsiTheme="majorBidi" w:cstheme="majorBidi" w:hint="eastAsia"/>
          <w:sz w:val="28"/>
          <w:szCs w:val="28"/>
        </w:rPr>
        <w:t>(Montes‐de‐Oca‐García et al., 2021; Soares et al., 2023)</w:t>
      </w:r>
      <w:r w:rsidRPr="008D6593">
        <w:rPr>
          <w:rFonts w:asciiTheme="majorBidi" w:hAnsiTheme="majorBidi" w:cstheme="majorBidi"/>
          <w:sz w:val="28"/>
          <w:szCs w:val="28"/>
        </w:rPr>
        <w:fldChar w:fldCharType="end"/>
      </w:r>
      <w:r w:rsidRPr="008D6593">
        <w:rPr>
          <w:rFonts w:asciiTheme="majorBidi" w:hAnsiTheme="majorBidi" w:cstheme="majorBidi"/>
          <w:sz w:val="28"/>
          <w:szCs w:val="28"/>
        </w:rPr>
        <w:t xml:space="preserve">. Improved aerobic fitness has also been reported to correlate with a reduced heart rate response during submaximal exercise, reflecting improved cardiovascular performance </w:t>
      </w:r>
      <w:r w:rsidRPr="008D6593">
        <w:rPr>
          <w:rFonts w:asciiTheme="majorBidi" w:hAnsiTheme="majorBidi" w:cstheme="majorBidi"/>
          <w:sz w:val="28"/>
          <w:szCs w:val="28"/>
        </w:rPr>
        <w:fldChar w:fldCharType="begin" w:fldLock="1"/>
      </w:r>
      <w:r w:rsidRPr="008D6593">
        <w:rPr>
          <w:rFonts w:asciiTheme="majorBidi" w:hAnsiTheme="majorBidi" w:cstheme="majorBidi"/>
          <w:sz w:val="28"/>
          <w:szCs w:val="28"/>
        </w:rPr>
        <w:instrText>ADDIN CSL_CITATION {"citationItems":[{"id":"ITEM-1","itemData":{"DOI":"10.1097/md.0000000000027384","author":[{"dropping-particle":"","family":"Han","given":"Sheng-Chieh","non-dropping-particle":"","parse-names":false,"suffix":""},{"dropping-particle":"",</w:instrText>
      </w:r>
      <w:r w:rsidRPr="008D6593">
        <w:rPr>
          <w:rFonts w:asciiTheme="majorBidi" w:hAnsiTheme="majorBidi" w:cstheme="majorBidi" w:hint="eastAsia"/>
          <w:sz w:val="28"/>
          <w:szCs w:val="28"/>
        </w:rPr>
        <w:instrText>"family":"Fu","given":"Tieh‐Cheng","non-dropping-particle":"","parse-names":false,"suffix":""},{"dropping-particle":"","family":"Hsu","given":"Chih‐Chin","non-dropping-particle":"","parse-names":false,"suffix":""},{"dropping-particle":"","family":"Huang","given":"Shu‐Chun","non-dropping-particle":"","parse-names":false,"suffix":""},{"dropping-particle":"","family":"Lin","given":"Hsin-Yu","non-dropping-particle":"","parse-names":false,"suffix":""},{"dropping-particle":"","family":"Wang","given":"Jong‐Shyan</w:instrText>
      </w:r>
      <w:r w:rsidRPr="008D6593">
        <w:rPr>
          <w:rFonts w:asciiTheme="majorBidi" w:hAnsiTheme="majorBidi" w:cstheme="majorBidi"/>
          <w:sz w:val="28"/>
          <w:szCs w:val="28"/>
        </w:rPr>
        <w:instrText>","non-dropping-particle":"","parse-names":false,"suffix":""}],"container-title":"Medicine","id":"ITEM-1","issued":{"date-parts":[["2021"]]},"title":"The Validation of Oxygen Uptake Efficiency Slope in Patients With Stroke","type":"article"},"uris":["http://www.mendeley.com/documents/?uuid=59ae9de5-5893-4726-ac5b-16c9d1d0fa0b"]},{"id":"ITEM-2","itemData":{"DOI":"10.2340/jrm.v57.43359","author":[{"dropping-particle":"","family":"Nindorera","given":"Félix","non-dropping-particle":"","parse-names":false,"suffix":""},{"dropping-particle":"","family":"Lévêque","given":"Clément","non-dropping-particle":"","parse-names":false,"suffix":""},{"dropping-particle":"","family":"Meyer","given":"Eric G","non-dropping-particle":"","parse-names":false,"suffix":""},{"dropping-particle":"","family":"Balestra","given":"Costantino","non-dropping-particle":"","parse-names":false,"suffix":""},{"dropping-particle":"","family":"Theunissen","given":"Sigrid","non-dropping-particle":"","parse-names":false,"suffix":""}],"container-title":"Journal of Rehabilitation Medicine","id":"ITEM-2","issued":{"date-parts":[["2025"]]},"title":"Optimizing Physical Fitness in Chronic Stroke Patients: The Impact of Exercise Training Modality and Dosage on Maximal and Sub-Maximal Fitness – A Systematic Review and Meta-Analysis","type":"article"},"uris":["http://www.mendeley.com/documents/?uuid=755d268b-7253-4713-b91d-641e0565377c"]},{"id":"ITEM-3","itemData":{"DOI":"10.1186/s13102-021-00358-1","author":[{"dropping-particle":"","family":"Nakahara","given":"Hidehiro","non-dropping-particle":"","parse-names":false,"suffix":""},{"dropping-particle":"","family":"Ueda","given":"Shin-ya","non-dropping-particle":"","parse-names":false,"suffix":""},{"dropping-particle":"","family":"Kawai","given":"Eriko","non-dropping-particle":"","parse-names":false,"suffix":""},{"dropping-particle":"","family":"Higashiura","given":"Rui","non-dropping-particle":"","parse-names":false,"suffix":""},{"dropping-particle":"","family":"Miyamoto","given":"Tadayoshi","non-dropping-particle":"","parse-names":false,"suffix":""}],"container-title":"BMC Sports Science Medicine and Rehabilitation","id":"ITEM-3","issued":{"date-parts":[["2021"]]},"title":"Effects of Pre-Exercise Acupuncture Stimulation on Heart Rate Response During Short-Duration Exercise","type":"article"},"uris":["http://www.mendeley.com/documents/?uuid=27f415a3-29f5-44a2-99cb-0691c0952d63"]}],"mendeley":{"formattedCitation":"(Han et al., 2021; Nakahara et al., 2021; Nindorera et al., 2025)","plainTextFormattedCitation":"(Han et al., 2021; Nakahara et al., 2021; Nindorera et al., 2025)","previouslyFormattedCitation":"(Han et al., 2021; Nakahara et al., 2021; Nindorera et al., 2025)"},"properties":{"noteIndex":0},"schema":"https://github.com/citation-style-language/schema/raw/master/csl-citation.json"}</w:instrText>
      </w:r>
      <w:r w:rsidRPr="008D6593">
        <w:rPr>
          <w:rFonts w:asciiTheme="majorBidi" w:hAnsiTheme="majorBidi" w:cstheme="majorBidi"/>
          <w:sz w:val="28"/>
          <w:szCs w:val="28"/>
        </w:rPr>
        <w:fldChar w:fldCharType="separate"/>
      </w:r>
      <w:r w:rsidRPr="008D6593">
        <w:rPr>
          <w:rFonts w:asciiTheme="majorBidi" w:hAnsiTheme="majorBidi" w:cstheme="majorBidi"/>
          <w:sz w:val="28"/>
          <w:szCs w:val="28"/>
        </w:rPr>
        <w:t>(Han et al., 2021; Nakahara et al., 2021; Nindorera et al., 2025)</w:t>
      </w:r>
      <w:r w:rsidRPr="008D6593">
        <w:rPr>
          <w:rFonts w:asciiTheme="majorBidi" w:hAnsiTheme="majorBidi" w:cstheme="majorBidi"/>
          <w:sz w:val="28"/>
          <w:szCs w:val="28"/>
        </w:rPr>
        <w:fldChar w:fldCharType="end"/>
      </w:r>
      <w:r w:rsidRPr="008D6593">
        <w:rPr>
          <w:rFonts w:asciiTheme="majorBidi" w:hAnsiTheme="majorBidi" w:cstheme="majorBidi"/>
          <w:sz w:val="28"/>
          <w:szCs w:val="28"/>
        </w:rPr>
        <w:t>. Thus, reduced heart rate demands during submaximal exercise underscore the importance of cardiovascular and autonomic regulation in improving exercise efficiency, while highlighting the potential role of genetic factors, such as the I allele of the ACE gene, in influencing these physiological responses</w:t>
      </w:r>
      <w:r>
        <w:rPr>
          <w:rFonts w:asciiTheme="majorBidi" w:hAnsiTheme="majorBidi" w:cstheme="majorBidi"/>
          <w:sz w:val="28"/>
          <w:szCs w:val="28"/>
        </w:rPr>
        <w:t>.</w:t>
      </w:r>
    </w:p>
    <w:p w14:paraId="07FD89EA" w14:textId="650CE721" w:rsidR="008D6593" w:rsidRDefault="008D6593" w:rsidP="008D6593">
      <w:pPr>
        <w:spacing w:after="240" w:line="276" w:lineRule="auto"/>
        <w:ind w:firstLine="720"/>
        <w:jc w:val="both"/>
        <w:rPr>
          <w:rFonts w:asciiTheme="majorBidi" w:hAnsiTheme="majorBidi" w:cstheme="majorBidi"/>
          <w:sz w:val="28"/>
          <w:szCs w:val="28"/>
        </w:rPr>
      </w:pPr>
      <w:r w:rsidRPr="008D6593">
        <w:rPr>
          <w:rFonts w:asciiTheme="majorBidi" w:hAnsiTheme="majorBidi" w:cstheme="majorBidi"/>
          <w:sz w:val="28"/>
          <w:szCs w:val="28"/>
        </w:rPr>
        <w:lastRenderedPageBreak/>
        <w:t>The results of this study are consistent with previous reports showing more favorable endurance adaptations in individuals with the ACE II genotype. These findings also extend existing understanding by demonstrating genotype-specific heart rate dynamics in the context of exercise in adolescents. Importantly, the results of this study confirm that genetic factors act as modulators of exercise responses, not as the sole determinant of successful adaptation to physical exercise</w:t>
      </w:r>
      <w:r>
        <w:rPr>
          <w:rFonts w:asciiTheme="majorBidi" w:hAnsiTheme="majorBidi" w:cstheme="majorBidi"/>
          <w:sz w:val="28"/>
          <w:szCs w:val="28"/>
        </w:rPr>
        <w:t>.</w:t>
      </w:r>
    </w:p>
    <w:p w14:paraId="5FD9951B" w14:textId="244C6735" w:rsidR="008D6593" w:rsidRPr="008D6593" w:rsidRDefault="008D6593" w:rsidP="00E030D4">
      <w:pPr>
        <w:spacing w:line="276" w:lineRule="auto"/>
        <w:jc w:val="both"/>
        <w:rPr>
          <w:rFonts w:asciiTheme="majorBidi" w:hAnsiTheme="majorBidi" w:cstheme="majorBidi"/>
          <w:b/>
          <w:bCs/>
          <w:i/>
          <w:iCs/>
          <w:sz w:val="28"/>
          <w:szCs w:val="28"/>
        </w:rPr>
      </w:pPr>
      <w:r>
        <w:rPr>
          <w:rFonts w:asciiTheme="majorBidi" w:hAnsiTheme="majorBidi" w:cstheme="majorBidi"/>
          <w:b/>
          <w:bCs/>
          <w:i/>
          <w:iCs/>
          <w:sz w:val="28"/>
          <w:szCs w:val="28"/>
        </w:rPr>
        <w:t>5. Conclusion</w:t>
      </w:r>
    </w:p>
    <w:p w14:paraId="79B61E14" w14:textId="29CA9F56" w:rsidR="00303C64" w:rsidRPr="00A25A0A" w:rsidRDefault="008D6593" w:rsidP="00A25A0A">
      <w:pPr>
        <w:spacing w:after="240" w:line="276" w:lineRule="auto"/>
        <w:ind w:firstLine="720"/>
        <w:jc w:val="both"/>
        <w:rPr>
          <w:rFonts w:asciiTheme="majorBidi" w:hAnsiTheme="majorBidi" w:cstheme="majorBidi"/>
          <w:sz w:val="28"/>
          <w:szCs w:val="28"/>
        </w:rPr>
      </w:pPr>
      <w:r w:rsidRPr="008D6593">
        <w:rPr>
          <w:rFonts w:asciiTheme="majorBidi" w:hAnsiTheme="majorBidi" w:cstheme="majorBidi"/>
          <w:sz w:val="28"/>
          <w:szCs w:val="28"/>
        </w:rPr>
        <w:t>Three months of fartlek training significantly improved cardiovascular efficiency, as demonstrated by a decrease in heart rate during submaximal exercise, in adolescent boys. This adaptation occurred across all ACE genotypes, but was more pronounced in individuals with the ACE II genotype. These findings suggest that ACE gene polymorphisms contribute to individual variations in cardiovascular responses and act as biological modulators of adaptation to endurance training in the adolescent population</w:t>
      </w:r>
      <w:r>
        <w:rPr>
          <w:rFonts w:asciiTheme="majorBidi" w:hAnsiTheme="majorBidi" w:cstheme="majorBidi"/>
          <w:sz w:val="28"/>
          <w:szCs w:val="28"/>
        </w:rPr>
        <w:t>.</w:t>
      </w:r>
      <w:bookmarkStart w:id="4" w:name="_Hlk217928415"/>
      <w:bookmarkStart w:id="5" w:name="_Toc87483596"/>
      <w:bookmarkStart w:id="6" w:name="_Toc87495882"/>
    </w:p>
    <w:bookmarkEnd w:id="4"/>
    <w:bookmarkEnd w:id="5"/>
    <w:bookmarkEnd w:id="6"/>
    <w:p w14:paraId="180129BE" w14:textId="3FEAC8BA" w:rsidR="00056B82" w:rsidRPr="000A0940" w:rsidRDefault="00056B82" w:rsidP="00056B82">
      <w:pPr>
        <w:spacing w:line="276" w:lineRule="auto"/>
        <w:ind w:firstLine="360"/>
        <w:jc w:val="both"/>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0288" behindDoc="1" locked="0" layoutInCell="1" allowOverlap="1" wp14:anchorId="0BB34AF7" wp14:editId="2F414AF4">
                <wp:simplePos x="0" y="0"/>
                <wp:positionH relativeFrom="margin">
                  <wp:posOffset>-128270</wp:posOffset>
                </wp:positionH>
                <wp:positionV relativeFrom="paragraph">
                  <wp:posOffset>168910</wp:posOffset>
                </wp:positionV>
                <wp:extent cx="5859780" cy="746760"/>
                <wp:effectExtent l="38100" t="38100" r="121920" b="110490"/>
                <wp:wrapNone/>
                <wp:docPr id="1134204516" name="Rectangle: Rounded Corners 7"/>
                <wp:cNvGraphicFramePr/>
                <a:graphic xmlns:a="http://schemas.openxmlformats.org/drawingml/2006/main">
                  <a:graphicData uri="http://schemas.microsoft.com/office/word/2010/wordprocessingShape">
                    <wps:wsp>
                      <wps:cNvSpPr/>
                      <wps:spPr>
                        <a:xfrm>
                          <a:off x="0" y="0"/>
                          <a:ext cx="5859780" cy="746760"/>
                        </a:xfrm>
                        <a:prstGeom prst="roundRect">
                          <a:avLst>
                            <a:gd name="adj" fmla="val 3238"/>
                          </a:avLst>
                        </a:prstGeom>
                        <a:solidFill>
                          <a:schemeClr val="bg1">
                            <a:lumMod val="95000"/>
                          </a:schemeClr>
                        </a:solidFill>
                        <a:ln w="3175">
                          <a:solidFill>
                            <a:srgbClr val="EE0000"/>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54AD3F" id="Rectangle: Rounded Corners 7" o:spid="_x0000_s1026" style="position:absolute;margin-left:-10.1pt;margin-top:13.3pt;width:461.4pt;height:58.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1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3jDAMAAJkGAAAOAAAAZHJzL2Uyb0RvYy54bWysVU1v2zAMvQ/YfxB0Xx3no0mDOkXQrsOA&#10;ri2aDj0rkhxrkyVNkuNkv36U5Djp1l2GXRxRJB/JR4q5vNrVEm25dUKrAudnA4y4opoJtSnw1+fb&#10;DzOMnCeKEakVL/CeO3y1eP/usjVzPtSVloxbBCDKzVtT4Mp7M88yRyteE3emDVegLLWtiQfRbjJm&#10;SQvotcyGg8F51mrLjNWUOwe3N0mJFxG/LDn1D2XpuEeywJCbj18bv+vwzRaXZL6xxFSCdmmQf8ii&#10;JkJB0B7qhniCGiv+gKoFtdrp0p9RXWe6LAXlsQaoJh/8Vs2qIobHWoAcZ3qa3P+DpffblXm0QENr&#10;3NzBMVSxK20dfiE/tItk7Xuy+M4jCpeT2eRiOgNOKeim4/PpeWQzO3ob6/wnrmsUDgW2ulHsCToS&#10;iSLbO+cjYwwpUsNoEPYNo7KWwP+WSDQajmahPQDY2cLpABkcnZaC3QopoxAGhl9Li8C3wOtNHqPI&#10;pv6iWbq7mAwGhxTjfAXziP8KSSrUFniUTycR4ZXO2c26j/HxI+D1gMdkIE2pQk48zl9Xpm48t6uK&#10;tWgtG/tEGDA4mIE/YiKwM5rlSYDhHE4DMqiI3MCr8hIjq/2L8FWciNCKgB/I6LNZS0K/x2siTUVS&#10;yeMIk0jsrGPBfTJROskzO05BPPm95CGUVE+8RIJB34eJltd8E0q58olzVxHGU/z8r5RHwIBcQgN7&#10;7A7gbexURmd/5Ld3TqT0nU0ZHBJLzqlS8IiRtfK9cy2Utm9VJqGqLnKyB8pOqAnHtWb7RxtaFJ+K&#10;M/RWQGvuiPOPxMI4QydhRfoH+JRSw3Tp7oRRpe3Pt+6DPbxy0GLUwnoqsPvREMsxkp8VvP+LfDwG&#10;WB+F8WQ6BMGeatanGtXU1xqeRQ7L2NB4DPZeHo6l1fULbNJliAoqoijELjD19iBc+7Q2YRdTvlxG&#10;M9hhhvg7tTI0gAdWw5g9716INd2z97Aw7vVhlXWP+TiSyTZ4Kr1svC6FD8ojr50A+y8Oa7erw4I9&#10;laPV8R9l8QsAAP//AwBQSwMEFAAGAAgAAAAhACt+BizgAAAACgEAAA8AAABkcnMvZG93bnJldi54&#10;bWxMj8FOwzAMhu9IvENkJG5bSlRVrDSd0MQ4IDiwIiRuWWPaao1TmnTr3h5zGjdb/vT7+4v17Hpx&#10;xDF0njTcLRMQSLW3HTUaPqrt4h5EiIas6T2hhjMGWJfXV4XJrT/ROx53sREcQiE3GtoYh1zKULfo&#10;TFj6AYlv3350JvI6NtKO5sThrpcqSTLpTEf8oTUDblqsD7vJaZBylZ6ftoeZqpfN9FZ91Z8/z69a&#10;397Mjw8gIs7xAsOfPqtDyU57P5ENotewUIliVIPKMhAMrBLFw57JNFUgy0L+r1D+AgAA//8DAFBL&#10;AQItABQABgAIAAAAIQC2gziS/gAAAOEBAAATAAAAAAAAAAAAAAAAAAAAAABbQ29udGVudF9UeXBl&#10;c10ueG1sUEsBAi0AFAAGAAgAAAAhADj9If/WAAAAlAEAAAsAAAAAAAAAAAAAAAAALwEAAF9yZWxz&#10;Ly5yZWxzUEsBAi0AFAAGAAgAAAAhAF183eMMAwAAmQYAAA4AAAAAAAAAAAAAAAAALgIAAGRycy9l&#10;Mm9Eb2MueG1sUEsBAi0AFAAGAAgAAAAhACt+BizgAAAACgEAAA8AAAAAAAAAAAAAAAAAZgUAAGRy&#10;cy9kb3ducmV2LnhtbFBLBQYAAAAABAAEAPMAAABzBgAAAAA=&#10;" fillcolor="#f2f2f2 [3052]" strokecolor="#e00" strokeweight=".25pt">
                <v:shadow on="t" color="black" opacity="26214f" origin="-.5,-.5" offset=".74836mm,.74836mm"/>
                <w10:wrap anchorx="margin"/>
              </v:roundrect>
            </w:pict>
          </mc:Fallback>
        </mc:AlternateContent>
      </w:r>
    </w:p>
    <w:p w14:paraId="1804B447" w14:textId="77777777" w:rsidR="00E030D4" w:rsidRPr="00E030D4" w:rsidRDefault="00E030D4" w:rsidP="00E030D4">
      <w:pPr>
        <w:pStyle w:val="ListParagraph"/>
        <w:numPr>
          <w:ilvl w:val="0"/>
          <w:numId w:val="9"/>
        </w:numPr>
        <w:snapToGrid w:val="0"/>
        <w:spacing w:line="480" w:lineRule="auto"/>
        <w:rPr>
          <w:rFonts w:ascii="Times New Roman" w:hAnsi="Times New Roman"/>
          <w:b/>
          <w:sz w:val="24"/>
          <w:szCs w:val="24"/>
        </w:rPr>
      </w:pPr>
      <w:r w:rsidRPr="00E030D4">
        <w:rPr>
          <w:rFonts w:asciiTheme="majorBidi" w:hAnsiTheme="majorBidi" w:cstheme="majorBidi"/>
          <w:b/>
          <w:bCs/>
          <w:i/>
          <w:iCs/>
          <w:sz w:val="24"/>
          <w:szCs w:val="24"/>
        </w:rPr>
        <w:t>Preprint Declaration</w:t>
      </w:r>
    </w:p>
    <w:p w14:paraId="53B16188" w14:textId="577EACF9" w:rsidR="004A53ED" w:rsidRPr="00E030D4" w:rsidRDefault="00E030D4" w:rsidP="00E030D4">
      <w:pPr>
        <w:pStyle w:val="ListParagraph"/>
        <w:snapToGrid w:val="0"/>
        <w:spacing w:line="480" w:lineRule="auto"/>
        <w:ind w:left="360"/>
        <w:rPr>
          <w:rFonts w:ascii="Times New Roman" w:hAnsi="Times New Roman"/>
          <w:b/>
          <w:sz w:val="24"/>
          <w:szCs w:val="24"/>
        </w:rPr>
      </w:pPr>
      <w:r>
        <w:rPr>
          <w:rFonts w:asciiTheme="majorBidi" w:hAnsiTheme="majorBidi" w:cstheme="majorBidi"/>
          <w:b/>
          <w:bCs/>
          <w:i/>
          <w:iCs/>
          <w:sz w:val="24"/>
          <w:szCs w:val="24"/>
        </w:rPr>
        <w:t xml:space="preserve">    </w:t>
      </w:r>
      <w:r w:rsidRPr="00E030D4">
        <w:rPr>
          <w:bCs/>
          <w:sz w:val="24"/>
          <w:szCs w:val="24"/>
        </w:rPr>
        <w:t>Not applicable</w:t>
      </w:r>
      <w:r w:rsidRPr="00E030D4">
        <w:rPr>
          <w:rFonts w:asciiTheme="majorBidi" w:hAnsiTheme="majorBidi" w:cstheme="majorBidi"/>
          <w:b/>
          <w:bCs/>
          <w:i/>
          <w:iCs/>
          <w:sz w:val="24"/>
          <w:szCs w:val="24"/>
        </w:rPr>
        <w:t xml:space="preserve"> </w:t>
      </w:r>
    </w:p>
    <w:p w14:paraId="32D39587" w14:textId="77777777" w:rsidR="00103106" w:rsidRDefault="00103106" w:rsidP="00103106">
      <w:pPr>
        <w:spacing w:line="276" w:lineRule="auto"/>
        <w:jc w:val="both"/>
        <w:rPr>
          <w:rFonts w:asciiTheme="majorBidi" w:hAnsiTheme="majorBidi" w:cstheme="majorBidi"/>
          <w:sz w:val="28"/>
          <w:szCs w:val="28"/>
        </w:rPr>
      </w:pPr>
      <w:bookmarkStart w:id="7" w:name="_TOC_250002"/>
      <w:bookmarkEnd w:id="7"/>
    </w:p>
    <w:p w14:paraId="7794604F" w14:textId="77777777" w:rsidR="006D039E" w:rsidRDefault="006D039E" w:rsidP="00103106">
      <w:pPr>
        <w:spacing w:line="276" w:lineRule="auto"/>
        <w:jc w:val="both"/>
        <w:rPr>
          <w:rFonts w:asciiTheme="majorBidi" w:hAnsiTheme="majorBidi" w:cstheme="majorBidi"/>
          <w:sz w:val="28"/>
          <w:szCs w:val="28"/>
          <w:rtl/>
        </w:rPr>
      </w:pPr>
    </w:p>
    <w:p w14:paraId="08FC2A2B" w14:textId="14B3125C" w:rsidR="001352A3" w:rsidRPr="00C707CC" w:rsidRDefault="001352A3" w:rsidP="00103106">
      <w:pPr>
        <w:spacing w:line="276" w:lineRule="auto"/>
        <w:jc w:val="center"/>
        <w:rPr>
          <w:rFonts w:asciiTheme="majorBidi" w:hAnsiTheme="majorBidi" w:cstheme="majorBidi"/>
          <w:b/>
          <w:bCs/>
          <w:i/>
          <w:iCs/>
          <w:sz w:val="24"/>
          <w:szCs w:val="24"/>
        </w:rPr>
      </w:pPr>
      <w:r w:rsidRPr="00C707CC">
        <w:rPr>
          <w:rFonts w:asciiTheme="majorBidi" w:hAnsiTheme="majorBidi" w:cstheme="majorBidi"/>
          <w:b/>
          <w:bCs/>
          <w:i/>
          <w:iCs/>
          <w:sz w:val="24"/>
          <w:szCs w:val="24"/>
        </w:rPr>
        <w:t>References</w:t>
      </w:r>
    </w:p>
    <w:p w14:paraId="590E3B72" w14:textId="77777777" w:rsidR="00C707CC" w:rsidRPr="00C707CC" w:rsidRDefault="00C707CC" w:rsidP="00103106">
      <w:pPr>
        <w:spacing w:line="276" w:lineRule="auto"/>
        <w:jc w:val="both"/>
        <w:rPr>
          <w:rFonts w:asciiTheme="majorBidi" w:hAnsiTheme="majorBidi" w:cstheme="majorBidi"/>
          <w:sz w:val="24"/>
          <w:szCs w:val="24"/>
          <w:rtl/>
        </w:rPr>
      </w:pPr>
    </w:p>
    <w:p w14:paraId="0EB9C656" w14:textId="77777777" w:rsidR="003B65DC" w:rsidRPr="003B65DC" w:rsidRDefault="003B65DC" w:rsidP="003B65DC">
      <w:pPr>
        <w:pStyle w:val="ListParagraph"/>
        <w:numPr>
          <w:ilvl w:val="0"/>
          <w:numId w:val="9"/>
        </w:numPr>
        <w:jc w:val="both"/>
        <w:rPr>
          <w:rFonts w:asciiTheme="majorBidi" w:hAnsiTheme="majorBidi" w:cstheme="majorBidi"/>
          <w:sz w:val="24"/>
          <w:szCs w:val="24"/>
        </w:rPr>
      </w:pPr>
      <w:r w:rsidRPr="003B65DC">
        <w:rPr>
          <w:rFonts w:asciiTheme="majorBidi" w:hAnsiTheme="majorBidi" w:cstheme="majorBidi"/>
          <w:sz w:val="24"/>
          <w:szCs w:val="24"/>
        </w:rPr>
        <w:t xml:space="preserve">Alves, C. R., Fernandes, T., Lemos, J. R., Magalhães, F. de C., Trombetta, I. C., Alves, G. B., Mota, G. de F. A. da, Dias, R. G., Pereira, A. C., Krieger, J. E., Negrão, C. E., &amp; Oliveira, E. M. de. (2018). Aerobic exercise training differentially affects ACE C- and N-domain activities in humans: Interactions with ACE I/D polymorphism and association with vascular reactivity. </w:t>
      </w:r>
      <w:r w:rsidRPr="003B65DC">
        <w:rPr>
          <w:rFonts w:asciiTheme="majorBidi" w:hAnsiTheme="majorBidi" w:cstheme="majorBidi"/>
          <w:i/>
          <w:iCs/>
          <w:sz w:val="24"/>
          <w:szCs w:val="24"/>
        </w:rPr>
        <w:t>Journal of the Renin-Angiotensin-Aldosterone System</w:t>
      </w:r>
      <w:r w:rsidRPr="003B65DC">
        <w:rPr>
          <w:rFonts w:asciiTheme="majorBidi" w:hAnsiTheme="majorBidi" w:cstheme="majorBidi"/>
          <w:sz w:val="24"/>
          <w:szCs w:val="24"/>
        </w:rPr>
        <w:t xml:space="preserve">. </w:t>
      </w:r>
      <w:hyperlink r:id="rId19" w:history="1">
        <w:r w:rsidRPr="003B65DC">
          <w:rPr>
            <w:rStyle w:val="Hyperlink"/>
            <w:rFonts w:asciiTheme="majorBidi" w:hAnsiTheme="majorBidi" w:cstheme="majorBidi"/>
            <w:sz w:val="24"/>
            <w:szCs w:val="24"/>
          </w:rPr>
          <w:t>https://doi.org/10.1177/1470320318761725</w:t>
        </w:r>
      </w:hyperlink>
    </w:p>
    <w:p w14:paraId="07FA8253" w14:textId="77777777" w:rsidR="003B65DC" w:rsidRPr="003B65DC" w:rsidRDefault="003B65DC" w:rsidP="003B65DC">
      <w:pPr>
        <w:pStyle w:val="ListParagraph"/>
        <w:numPr>
          <w:ilvl w:val="0"/>
          <w:numId w:val="9"/>
        </w:numPr>
        <w:jc w:val="both"/>
        <w:rPr>
          <w:rFonts w:asciiTheme="majorBidi" w:hAnsiTheme="majorBidi" w:cstheme="majorBidi"/>
          <w:sz w:val="24"/>
          <w:szCs w:val="24"/>
        </w:rPr>
      </w:pPr>
      <w:r w:rsidRPr="003B65DC">
        <w:rPr>
          <w:rFonts w:asciiTheme="majorBidi" w:hAnsiTheme="majorBidi" w:cstheme="majorBidi"/>
          <w:sz w:val="24"/>
          <w:szCs w:val="24"/>
        </w:rPr>
        <w:t xml:space="preserve">Andrade, P. E. de, </w:t>
      </w:r>
      <w:proofErr w:type="spellStart"/>
      <w:r w:rsidRPr="003B65DC">
        <w:rPr>
          <w:rFonts w:asciiTheme="majorBidi" w:hAnsiTheme="majorBidi" w:cstheme="majorBidi"/>
          <w:sz w:val="24"/>
          <w:szCs w:val="24"/>
        </w:rPr>
        <w:t>Zangirolami</w:t>
      </w:r>
      <w:proofErr w:type="spellEnd"/>
      <w:r w:rsidRPr="003B65DC">
        <w:rPr>
          <w:rFonts w:asciiTheme="majorBidi" w:hAnsiTheme="majorBidi" w:cstheme="majorBidi"/>
          <w:sz w:val="24"/>
          <w:szCs w:val="24"/>
        </w:rPr>
        <w:t xml:space="preserve">-Raimundo, J., Morais, T. C., Abreu, L. C. de, Siqueira, C. E., </w:t>
      </w:r>
      <w:proofErr w:type="spellStart"/>
      <w:r w:rsidRPr="003B65DC">
        <w:rPr>
          <w:rFonts w:asciiTheme="majorBidi" w:hAnsiTheme="majorBidi" w:cstheme="majorBidi"/>
          <w:sz w:val="24"/>
          <w:szCs w:val="24"/>
        </w:rPr>
        <w:t>Sorpreso</w:t>
      </w:r>
      <w:proofErr w:type="spellEnd"/>
      <w:r w:rsidRPr="003B65DC">
        <w:rPr>
          <w:rFonts w:asciiTheme="majorBidi" w:hAnsiTheme="majorBidi" w:cstheme="majorBidi"/>
          <w:sz w:val="24"/>
          <w:szCs w:val="24"/>
        </w:rPr>
        <w:t xml:space="preserve">, I. C. E., Soares, J. M., &amp; Raimundo, R. D. (2023). Cardiac </w:t>
      </w:r>
      <w:proofErr w:type="spellStart"/>
      <w:r w:rsidRPr="003B65DC">
        <w:rPr>
          <w:rFonts w:asciiTheme="majorBidi" w:hAnsiTheme="majorBidi" w:cstheme="majorBidi"/>
          <w:sz w:val="24"/>
          <w:szCs w:val="24"/>
        </w:rPr>
        <w:t>behavior</w:t>
      </w:r>
      <w:proofErr w:type="spellEnd"/>
      <w:r w:rsidRPr="003B65DC">
        <w:rPr>
          <w:rFonts w:asciiTheme="majorBidi" w:hAnsiTheme="majorBidi" w:cstheme="majorBidi"/>
          <w:sz w:val="24"/>
          <w:szCs w:val="24"/>
        </w:rPr>
        <w:t xml:space="preserve"> and heart rate variability in elderly hypertensive individuals during aerobic exercise: A non-randomized controlled study. </w:t>
      </w:r>
      <w:r w:rsidRPr="003B65DC">
        <w:rPr>
          <w:rFonts w:asciiTheme="majorBidi" w:hAnsiTheme="majorBidi" w:cstheme="majorBidi"/>
          <w:i/>
          <w:iCs/>
          <w:sz w:val="24"/>
          <w:szCs w:val="24"/>
        </w:rPr>
        <w:t>International Journal of Environmental Research and Public Health</w:t>
      </w:r>
      <w:r w:rsidRPr="003B65DC">
        <w:rPr>
          <w:rFonts w:asciiTheme="majorBidi" w:hAnsiTheme="majorBidi" w:cstheme="majorBidi"/>
          <w:sz w:val="24"/>
          <w:szCs w:val="24"/>
        </w:rPr>
        <w:t xml:space="preserve">. </w:t>
      </w:r>
      <w:hyperlink r:id="rId20" w:history="1">
        <w:r w:rsidRPr="003B65DC">
          <w:rPr>
            <w:rStyle w:val="Hyperlink"/>
            <w:rFonts w:asciiTheme="majorBidi" w:hAnsiTheme="majorBidi" w:cstheme="majorBidi"/>
            <w:sz w:val="24"/>
            <w:szCs w:val="24"/>
          </w:rPr>
          <w:t>https://doi.org/10.3390/ijerph20021292</w:t>
        </w:r>
      </w:hyperlink>
    </w:p>
    <w:p w14:paraId="30665CA8" w14:textId="77777777" w:rsidR="003B65DC" w:rsidRPr="003B65DC" w:rsidRDefault="003B65DC" w:rsidP="003B65DC">
      <w:pPr>
        <w:pStyle w:val="ListParagraph"/>
        <w:numPr>
          <w:ilvl w:val="0"/>
          <w:numId w:val="9"/>
        </w:numPr>
        <w:jc w:val="both"/>
        <w:rPr>
          <w:rFonts w:asciiTheme="majorBidi" w:hAnsiTheme="majorBidi" w:cstheme="majorBidi"/>
          <w:sz w:val="24"/>
          <w:szCs w:val="24"/>
        </w:rPr>
      </w:pPr>
      <w:r w:rsidRPr="003B65DC">
        <w:rPr>
          <w:rFonts w:asciiTheme="majorBidi" w:hAnsiTheme="majorBidi" w:cstheme="majorBidi"/>
          <w:sz w:val="24"/>
          <w:szCs w:val="24"/>
        </w:rPr>
        <w:t xml:space="preserve">Basri, A. M., &amp; Turki, A. F. (2025). Evaluating heart rate variability as a biomarker for autonomic function in Parkinson’s disease rehabilitation: A clustering-based analysis of exercise-induced changes. </w:t>
      </w:r>
      <w:r w:rsidRPr="003B65DC">
        <w:rPr>
          <w:rFonts w:asciiTheme="majorBidi" w:hAnsiTheme="majorBidi" w:cstheme="majorBidi"/>
          <w:i/>
          <w:iCs/>
          <w:sz w:val="24"/>
          <w:szCs w:val="24"/>
        </w:rPr>
        <w:t>Medicina</w:t>
      </w:r>
      <w:r w:rsidRPr="003B65DC">
        <w:rPr>
          <w:rFonts w:asciiTheme="majorBidi" w:hAnsiTheme="majorBidi" w:cstheme="majorBidi"/>
          <w:sz w:val="24"/>
          <w:szCs w:val="24"/>
        </w:rPr>
        <w:t xml:space="preserve">. </w:t>
      </w:r>
      <w:hyperlink r:id="rId21" w:history="1">
        <w:r w:rsidRPr="003B65DC">
          <w:rPr>
            <w:rStyle w:val="Hyperlink"/>
            <w:rFonts w:asciiTheme="majorBidi" w:hAnsiTheme="majorBidi" w:cstheme="majorBidi"/>
            <w:sz w:val="24"/>
            <w:szCs w:val="24"/>
          </w:rPr>
          <w:t>https://doi.org/10.3390/medicina61030527</w:t>
        </w:r>
      </w:hyperlink>
    </w:p>
    <w:p w14:paraId="61FD5CD7" w14:textId="77777777" w:rsidR="003B65DC" w:rsidRPr="003B65DC" w:rsidRDefault="003B65DC" w:rsidP="003B65DC">
      <w:pPr>
        <w:pStyle w:val="ListParagraph"/>
        <w:numPr>
          <w:ilvl w:val="0"/>
          <w:numId w:val="9"/>
        </w:numPr>
        <w:jc w:val="both"/>
        <w:rPr>
          <w:rFonts w:asciiTheme="majorBidi" w:hAnsiTheme="majorBidi" w:cstheme="majorBidi"/>
          <w:sz w:val="24"/>
          <w:szCs w:val="24"/>
        </w:rPr>
      </w:pPr>
      <w:proofErr w:type="spellStart"/>
      <w:r w:rsidRPr="003B65DC">
        <w:rPr>
          <w:rFonts w:asciiTheme="majorBidi" w:hAnsiTheme="majorBidi" w:cstheme="majorBidi"/>
          <w:sz w:val="24"/>
          <w:szCs w:val="24"/>
        </w:rPr>
        <w:lastRenderedPageBreak/>
        <w:t>Bedrač</w:t>
      </w:r>
      <w:proofErr w:type="spellEnd"/>
      <w:r w:rsidRPr="003B65DC">
        <w:rPr>
          <w:rFonts w:asciiTheme="majorBidi" w:hAnsiTheme="majorBidi" w:cstheme="majorBidi"/>
          <w:sz w:val="24"/>
          <w:szCs w:val="24"/>
        </w:rPr>
        <w:t xml:space="preserve">, L., Deutsch, L., Terzić, S., </w:t>
      </w:r>
      <w:proofErr w:type="spellStart"/>
      <w:r w:rsidRPr="003B65DC">
        <w:rPr>
          <w:rFonts w:asciiTheme="majorBidi" w:hAnsiTheme="majorBidi" w:cstheme="majorBidi"/>
          <w:sz w:val="24"/>
          <w:szCs w:val="24"/>
        </w:rPr>
        <w:t>Červek</w:t>
      </w:r>
      <w:proofErr w:type="spellEnd"/>
      <w:r w:rsidRPr="003B65DC">
        <w:rPr>
          <w:rFonts w:asciiTheme="majorBidi" w:hAnsiTheme="majorBidi" w:cstheme="majorBidi"/>
          <w:sz w:val="24"/>
          <w:szCs w:val="24"/>
        </w:rPr>
        <w:t xml:space="preserve">, M., </w:t>
      </w:r>
      <w:proofErr w:type="spellStart"/>
      <w:r w:rsidRPr="003B65DC">
        <w:rPr>
          <w:rFonts w:asciiTheme="majorBidi" w:hAnsiTheme="majorBidi" w:cstheme="majorBidi"/>
          <w:sz w:val="24"/>
          <w:szCs w:val="24"/>
        </w:rPr>
        <w:t>Šelb</w:t>
      </w:r>
      <w:proofErr w:type="spellEnd"/>
      <w:r w:rsidRPr="003B65DC">
        <w:rPr>
          <w:rFonts w:asciiTheme="majorBidi" w:hAnsiTheme="majorBidi" w:cstheme="majorBidi"/>
          <w:sz w:val="24"/>
          <w:szCs w:val="24"/>
        </w:rPr>
        <w:t xml:space="preserve">, J., </w:t>
      </w:r>
      <w:proofErr w:type="spellStart"/>
      <w:r w:rsidRPr="003B65DC">
        <w:rPr>
          <w:rFonts w:asciiTheme="majorBidi" w:hAnsiTheme="majorBidi" w:cstheme="majorBidi"/>
          <w:sz w:val="24"/>
          <w:szCs w:val="24"/>
        </w:rPr>
        <w:t>Ašič</w:t>
      </w:r>
      <w:proofErr w:type="spellEnd"/>
      <w:r w:rsidRPr="003B65DC">
        <w:rPr>
          <w:rFonts w:asciiTheme="majorBidi" w:hAnsiTheme="majorBidi" w:cstheme="majorBidi"/>
          <w:sz w:val="24"/>
          <w:szCs w:val="24"/>
        </w:rPr>
        <w:t xml:space="preserve">, U., </w:t>
      </w:r>
      <w:proofErr w:type="spellStart"/>
      <w:r w:rsidRPr="003B65DC">
        <w:rPr>
          <w:rFonts w:asciiTheme="majorBidi" w:hAnsiTheme="majorBidi" w:cstheme="majorBidi"/>
          <w:sz w:val="24"/>
          <w:szCs w:val="24"/>
        </w:rPr>
        <w:t>Verstraeten</w:t>
      </w:r>
      <w:proofErr w:type="spellEnd"/>
      <w:r w:rsidRPr="003B65DC">
        <w:rPr>
          <w:rFonts w:asciiTheme="majorBidi" w:hAnsiTheme="majorBidi" w:cstheme="majorBidi"/>
          <w:sz w:val="24"/>
          <w:szCs w:val="24"/>
        </w:rPr>
        <w:t xml:space="preserve">, L. M. G., </w:t>
      </w:r>
      <w:proofErr w:type="spellStart"/>
      <w:r w:rsidRPr="003B65DC">
        <w:rPr>
          <w:rFonts w:asciiTheme="majorBidi" w:hAnsiTheme="majorBidi" w:cstheme="majorBidi"/>
          <w:sz w:val="24"/>
          <w:szCs w:val="24"/>
        </w:rPr>
        <w:t>Kuščer</w:t>
      </w:r>
      <w:proofErr w:type="spellEnd"/>
      <w:r w:rsidRPr="003B65DC">
        <w:rPr>
          <w:rFonts w:asciiTheme="majorBidi" w:hAnsiTheme="majorBidi" w:cstheme="majorBidi"/>
          <w:sz w:val="24"/>
          <w:szCs w:val="24"/>
        </w:rPr>
        <w:t xml:space="preserve">, E., &amp; Cvetko, F. (2024). Towards precision sports nutrition for endurance athletes: A scoping review of application of omics and wearables technologies. </w:t>
      </w:r>
      <w:r w:rsidRPr="003B65DC">
        <w:rPr>
          <w:rFonts w:asciiTheme="majorBidi" w:hAnsiTheme="majorBidi" w:cstheme="majorBidi"/>
          <w:i/>
          <w:iCs/>
          <w:sz w:val="24"/>
          <w:szCs w:val="24"/>
        </w:rPr>
        <w:t>Nutrients</w:t>
      </w:r>
      <w:r w:rsidRPr="003B65DC">
        <w:rPr>
          <w:rFonts w:asciiTheme="majorBidi" w:hAnsiTheme="majorBidi" w:cstheme="majorBidi"/>
          <w:sz w:val="24"/>
          <w:szCs w:val="24"/>
        </w:rPr>
        <w:t xml:space="preserve">. </w:t>
      </w:r>
      <w:hyperlink r:id="rId22" w:history="1">
        <w:r w:rsidRPr="003B65DC">
          <w:rPr>
            <w:rStyle w:val="Hyperlink"/>
            <w:rFonts w:asciiTheme="majorBidi" w:hAnsiTheme="majorBidi" w:cstheme="majorBidi"/>
            <w:sz w:val="24"/>
            <w:szCs w:val="24"/>
          </w:rPr>
          <w:t>https://doi.org/10.3390/nu16223943</w:t>
        </w:r>
      </w:hyperlink>
    </w:p>
    <w:p w14:paraId="4FDF8CB4" w14:textId="77777777" w:rsidR="003B65DC" w:rsidRPr="003B65DC" w:rsidRDefault="003B65DC" w:rsidP="003B65DC">
      <w:pPr>
        <w:pStyle w:val="ListParagraph"/>
        <w:numPr>
          <w:ilvl w:val="0"/>
          <w:numId w:val="9"/>
        </w:numPr>
        <w:jc w:val="both"/>
        <w:rPr>
          <w:rFonts w:asciiTheme="majorBidi" w:hAnsiTheme="majorBidi" w:cstheme="majorBidi"/>
          <w:sz w:val="24"/>
          <w:szCs w:val="24"/>
        </w:rPr>
      </w:pPr>
      <w:r w:rsidRPr="003B65DC">
        <w:rPr>
          <w:rFonts w:asciiTheme="majorBidi" w:hAnsiTheme="majorBidi" w:cstheme="majorBidi"/>
          <w:sz w:val="24"/>
          <w:szCs w:val="24"/>
        </w:rPr>
        <w:t xml:space="preserve">Bossi, A. H., Naumann, U., </w:t>
      </w:r>
      <w:proofErr w:type="spellStart"/>
      <w:r w:rsidRPr="003B65DC">
        <w:rPr>
          <w:rFonts w:asciiTheme="majorBidi" w:hAnsiTheme="majorBidi" w:cstheme="majorBidi"/>
          <w:sz w:val="24"/>
          <w:szCs w:val="24"/>
        </w:rPr>
        <w:t>Passfield</w:t>
      </w:r>
      <w:proofErr w:type="spellEnd"/>
      <w:r w:rsidRPr="003B65DC">
        <w:rPr>
          <w:rFonts w:asciiTheme="majorBidi" w:hAnsiTheme="majorBidi" w:cstheme="majorBidi"/>
          <w:sz w:val="24"/>
          <w:szCs w:val="24"/>
        </w:rPr>
        <w:t xml:space="preserve">, L., &amp; </w:t>
      </w:r>
      <w:proofErr w:type="spellStart"/>
      <w:r w:rsidRPr="003B65DC">
        <w:rPr>
          <w:rFonts w:asciiTheme="majorBidi" w:hAnsiTheme="majorBidi" w:cstheme="majorBidi"/>
          <w:sz w:val="24"/>
          <w:szCs w:val="24"/>
        </w:rPr>
        <w:t>Hopker</w:t>
      </w:r>
      <w:proofErr w:type="spellEnd"/>
      <w:r w:rsidRPr="003B65DC">
        <w:rPr>
          <w:rFonts w:asciiTheme="majorBidi" w:hAnsiTheme="majorBidi" w:cstheme="majorBidi"/>
          <w:sz w:val="24"/>
          <w:szCs w:val="24"/>
        </w:rPr>
        <w:t xml:space="preserve">, J. (2023). Modelling inter-individual variability in acute and adaptive responses to interval training: Insights into exercise intensity normalisation. </w:t>
      </w:r>
      <w:r w:rsidRPr="003B65DC">
        <w:rPr>
          <w:rFonts w:asciiTheme="majorBidi" w:hAnsiTheme="majorBidi" w:cstheme="majorBidi"/>
          <w:i/>
          <w:iCs/>
          <w:sz w:val="24"/>
          <w:szCs w:val="24"/>
        </w:rPr>
        <w:t>European Journal of Applied Physiology</w:t>
      </w:r>
      <w:r w:rsidRPr="003B65DC">
        <w:rPr>
          <w:rFonts w:asciiTheme="majorBidi" w:hAnsiTheme="majorBidi" w:cstheme="majorBidi"/>
          <w:sz w:val="24"/>
          <w:szCs w:val="24"/>
        </w:rPr>
        <w:t xml:space="preserve">. </w:t>
      </w:r>
      <w:hyperlink r:id="rId23" w:history="1">
        <w:r w:rsidRPr="003B65DC">
          <w:rPr>
            <w:rStyle w:val="Hyperlink"/>
            <w:rFonts w:asciiTheme="majorBidi" w:hAnsiTheme="majorBidi" w:cstheme="majorBidi"/>
            <w:sz w:val="24"/>
            <w:szCs w:val="24"/>
          </w:rPr>
          <w:t>https://doi.org/10.1007/s00421-023-05340-y</w:t>
        </w:r>
      </w:hyperlink>
    </w:p>
    <w:p w14:paraId="4E25C51C" w14:textId="77777777" w:rsidR="003B65DC" w:rsidRPr="003B65DC" w:rsidRDefault="003B65DC" w:rsidP="003B65DC">
      <w:pPr>
        <w:pStyle w:val="ListParagraph"/>
        <w:numPr>
          <w:ilvl w:val="0"/>
          <w:numId w:val="9"/>
        </w:numPr>
        <w:jc w:val="both"/>
        <w:rPr>
          <w:rFonts w:asciiTheme="majorBidi" w:hAnsiTheme="majorBidi" w:cstheme="majorBidi"/>
          <w:sz w:val="24"/>
          <w:szCs w:val="24"/>
        </w:rPr>
      </w:pPr>
      <w:r w:rsidRPr="003B65DC">
        <w:rPr>
          <w:rFonts w:asciiTheme="majorBidi" w:hAnsiTheme="majorBidi" w:cstheme="majorBidi"/>
          <w:sz w:val="24"/>
          <w:szCs w:val="24"/>
        </w:rPr>
        <w:t xml:space="preserve">Brandt, T., Ebel, C., Lebahn, C., &amp; Schmidt, A. M. (2025). Acute physiological responses and performance determinants in </w:t>
      </w:r>
      <w:proofErr w:type="spellStart"/>
      <w:r w:rsidRPr="003B65DC">
        <w:rPr>
          <w:rFonts w:asciiTheme="majorBidi" w:hAnsiTheme="majorBidi" w:cstheme="majorBidi"/>
          <w:sz w:val="24"/>
          <w:szCs w:val="24"/>
        </w:rPr>
        <w:t>Hyrox</w:t>
      </w:r>
      <w:proofErr w:type="spellEnd"/>
      <w:r w:rsidRPr="003B65DC">
        <w:rPr>
          <w:rFonts w:asciiTheme="majorBidi" w:hAnsiTheme="majorBidi" w:cstheme="majorBidi"/>
          <w:sz w:val="24"/>
          <w:szCs w:val="24"/>
        </w:rPr>
        <w:t xml:space="preserve">© – A new running-focused high intensity functional fitness trend. </w:t>
      </w:r>
      <w:r w:rsidRPr="003B65DC">
        <w:rPr>
          <w:rFonts w:asciiTheme="majorBidi" w:hAnsiTheme="majorBidi" w:cstheme="majorBidi"/>
          <w:i/>
          <w:iCs/>
          <w:sz w:val="24"/>
          <w:szCs w:val="24"/>
        </w:rPr>
        <w:t>Frontiers in Physiology</w:t>
      </w:r>
      <w:r w:rsidRPr="003B65DC">
        <w:rPr>
          <w:rFonts w:asciiTheme="majorBidi" w:hAnsiTheme="majorBidi" w:cstheme="majorBidi"/>
          <w:sz w:val="24"/>
          <w:szCs w:val="24"/>
        </w:rPr>
        <w:t xml:space="preserve">. </w:t>
      </w:r>
      <w:hyperlink r:id="rId24" w:history="1">
        <w:r w:rsidRPr="003B65DC">
          <w:rPr>
            <w:rStyle w:val="Hyperlink"/>
            <w:rFonts w:asciiTheme="majorBidi" w:hAnsiTheme="majorBidi" w:cstheme="majorBidi"/>
            <w:sz w:val="24"/>
            <w:szCs w:val="24"/>
          </w:rPr>
          <w:t>https://doi.org/10.3389/fphys.2025.1519240</w:t>
        </w:r>
      </w:hyperlink>
    </w:p>
    <w:p w14:paraId="1A079658" w14:textId="77777777" w:rsidR="003B65DC" w:rsidRPr="003B65DC" w:rsidRDefault="003B65DC" w:rsidP="003B65DC">
      <w:pPr>
        <w:pStyle w:val="ListParagraph"/>
        <w:numPr>
          <w:ilvl w:val="0"/>
          <w:numId w:val="9"/>
        </w:numPr>
        <w:jc w:val="both"/>
        <w:rPr>
          <w:rFonts w:asciiTheme="majorBidi" w:hAnsiTheme="majorBidi" w:cstheme="majorBidi"/>
          <w:sz w:val="24"/>
          <w:szCs w:val="24"/>
        </w:rPr>
      </w:pPr>
      <w:r w:rsidRPr="003B65DC">
        <w:rPr>
          <w:rFonts w:asciiTheme="majorBidi" w:hAnsiTheme="majorBidi" w:cstheme="majorBidi"/>
          <w:sz w:val="24"/>
          <w:szCs w:val="24"/>
        </w:rPr>
        <w:t xml:space="preserve">Dai, S., Ding, M., Liang, N., Li, Z., Li, D., Guan, L., &amp; Liu, H. (2019). Associations of ACE I/D polymorphism with the levels of ACE, kallikrein, angiotensin II and interleukin-6 in STEMI patients. </w:t>
      </w:r>
      <w:r w:rsidRPr="003B65DC">
        <w:rPr>
          <w:rFonts w:asciiTheme="majorBidi" w:hAnsiTheme="majorBidi" w:cstheme="majorBidi"/>
          <w:i/>
          <w:iCs/>
          <w:sz w:val="24"/>
          <w:szCs w:val="24"/>
        </w:rPr>
        <w:t>Scientific Reports</w:t>
      </w:r>
      <w:r w:rsidRPr="003B65DC">
        <w:rPr>
          <w:rFonts w:asciiTheme="majorBidi" w:hAnsiTheme="majorBidi" w:cstheme="majorBidi"/>
          <w:sz w:val="24"/>
          <w:szCs w:val="24"/>
        </w:rPr>
        <w:t xml:space="preserve">. </w:t>
      </w:r>
      <w:hyperlink r:id="rId25" w:history="1">
        <w:r w:rsidRPr="003B65DC">
          <w:rPr>
            <w:rStyle w:val="Hyperlink"/>
            <w:rFonts w:asciiTheme="majorBidi" w:hAnsiTheme="majorBidi" w:cstheme="majorBidi"/>
            <w:sz w:val="24"/>
            <w:szCs w:val="24"/>
          </w:rPr>
          <w:t>https://doi.org/10.1038/s41598-019-56263-8</w:t>
        </w:r>
      </w:hyperlink>
    </w:p>
    <w:p w14:paraId="301F7946" w14:textId="77777777" w:rsidR="003B65DC" w:rsidRPr="003B65DC" w:rsidRDefault="003B65DC" w:rsidP="003B65DC">
      <w:pPr>
        <w:pStyle w:val="ListParagraph"/>
        <w:numPr>
          <w:ilvl w:val="0"/>
          <w:numId w:val="9"/>
        </w:numPr>
        <w:jc w:val="both"/>
        <w:rPr>
          <w:rFonts w:asciiTheme="majorBidi" w:hAnsiTheme="majorBidi" w:cstheme="majorBidi"/>
          <w:sz w:val="24"/>
          <w:szCs w:val="24"/>
        </w:rPr>
      </w:pPr>
      <w:r w:rsidRPr="003B65DC">
        <w:rPr>
          <w:rFonts w:asciiTheme="majorBidi" w:hAnsiTheme="majorBidi" w:cstheme="majorBidi"/>
          <w:sz w:val="24"/>
          <w:szCs w:val="24"/>
        </w:rPr>
        <w:t xml:space="preserve">Gasser, B., </w:t>
      </w:r>
      <w:proofErr w:type="spellStart"/>
      <w:r w:rsidRPr="003B65DC">
        <w:rPr>
          <w:rFonts w:asciiTheme="majorBidi" w:hAnsiTheme="majorBidi" w:cstheme="majorBidi"/>
          <w:sz w:val="24"/>
          <w:szCs w:val="24"/>
        </w:rPr>
        <w:t>Flück</w:t>
      </w:r>
      <w:proofErr w:type="spellEnd"/>
      <w:r w:rsidRPr="003B65DC">
        <w:rPr>
          <w:rFonts w:asciiTheme="majorBidi" w:hAnsiTheme="majorBidi" w:cstheme="majorBidi"/>
          <w:sz w:val="24"/>
          <w:szCs w:val="24"/>
        </w:rPr>
        <w:t xml:space="preserve">, M., Frey, W. O., Valdivieso, P., &amp; </w:t>
      </w:r>
      <w:proofErr w:type="spellStart"/>
      <w:r w:rsidRPr="003B65DC">
        <w:rPr>
          <w:rFonts w:asciiTheme="majorBidi" w:hAnsiTheme="majorBidi" w:cstheme="majorBidi"/>
          <w:sz w:val="24"/>
          <w:szCs w:val="24"/>
        </w:rPr>
        <w:t>Spörri</w:t>
      </w:r>
      <w:proofErr w:type="spellEnd"/>
      <w:r w:rsidRPr="003B65DC">
        <w:rPr>
          <w:rFonts w:asciiTheme="majorBidi" w:hAnsiTheme="majorBidi" w:cstheme="majorBidi"/>
          <w:sz w:val="24"/>
          <w:szCs w:val="24"/>
        </w:rPr>
        <w:t xml:space="preserve">, J. (2022). Association of gene variants for mechanical and metabolic muscle quality with cardiorespiratory and muscular variables related to performance in skiing athletes. </w:t>
      </w:r>
      <w:r w:rsidRPr="003B65DC">
        <w:rPr>
          <w:rFonts w:asciiTheme="majorBidi" w:hAnsiTheme="majorBidi" w:cstheme="majorBidi"/>
          <w:i/>
          <w:iCs/>
          <w:sz w:val="24"/>
          <w:szCs w:val="24"/>
        </w:rPr>
        <w:t>Genes</w:t>
      </w:r>
      <w:r w:rsidRPr="003B65DC">
        <w:rPr>
          <w:rFonts w:asciiTheme="majorBidi" w:hAnsiTheme="majorBidi" w:cstheme="majorBidi"/>
          <w:sz w:val="24"/>
          <w:szCs w:val="24"/>
        </w:rPr>
        <w:t xml:space="preserve">. </w:t>
      </w:r>
      <w:hyperlink r:id="rId26" w:history="1">
        <w:r w:rsidRPr="003B65DC">
          <w:rPr>
            <w:rStyle w:val="Hyperlink"/>
            <w:rFonts w:asciiTheme="majorBidi" w:hAnsiTheme="majorBidi" w:cstheme="majorBidi"/>
            <w:sz w:val="24"/>
            <w:szCs w:val="24"/>
          </w:rPr>
          <w:t>https://doi.org/10.3390/genes13101798</w:t>
        </w:r>
      </w:hyperlink>
    </w:p>
    <w:p w14:paraId="427C3AF6" w14:textId="77777777" w:rsidR="003B65DC" w:rsidRPr="003B65DC" w:rsidRDefault="003B65DC" w:rsidP="003B65DC">
      <w:pPr>
        <w:pStyle w:val="ListParagraph"/>
        <w:numPr>
          <w:ilvl w:val="0"/>
          <w:numId w:val="9"/>
        </w:numPr>
        <w:jc w:val="both"/>
        <w:rPr>
          <w:rFonts w:asciiTheme="majorBidi" w:hAnsiTheme="majorBidi" w:cstheme="majorBidi"/>
          <w:sz w:val="24"/>
          <w:szCs w:val="24"/>
        </w:rPr>
      </w:pPr>
      <w:r w:rsidRPr="003B65DC">
        <w:rPr>
          <w:rFonts w:asciiTheme="majorBidi" w:hAnsiTheme="majorBidi" w:cstheme="majorBidi"/>
          <w:sz w:val="24"/>
          <w:szCs w:val="24"/>
        </w:rPr>
        <w:t xml:space="preserve">Gasser, B., </w:t>
      </w:r>
      <w:proofErr w:type="spellStart"/>
      <w:r w:rsidRPr="003B65DC">
        <w:rPr>
          <w:rFonts w:asciiTheme="majorBidi" w:hAnsiTheme="majorBidi" w:cstheme="majorBidi"/>
          <w:sz w:val="24"/>
          <w:szCs w:val="24"/>
        </w:rPr>
        <w:t>Niederseer</w:t>
      </w:r>
      <w:proofErr w:type="spellEnd"/>
      <w:r w:rsidRPr="003B65DC">
        <w:rPr>
          <w:rFonts w:asciiTheme="majorBidi" w:hAnsiTheme="majorBidi" w:cstheme="majorBidi"/>
          <w:sz w:val="24"/>
          <w:szCs w:val="24"/>
        </w:rPr>
        <w:t xml:space="preserve">, D., Frey, W. O., Catuogno, S., &amp; </w:t>
      </w:r>
      <w:proofErr w:type="spellStart"/>
      <w:r w:rsidRPr="003B65DC">
        <w:rPr>
          <w:rFonts w:asciiTheme="majorBidi" w:hAnsiTheme="majorBidi" w:cstheme="majorBidi"/>
          <w:sz w:val="24"/>
          <w:szCs w:val="24"/>
        </w:rPr>
        <w:t>Flück</w:t>
      </w:r>
      <w:proofErr w:type="spellEnd"/>
      <w:r w:rsidRPr="003B65DC">
        <w:rPr>
          <w:rFonts w:asciiTheme="majorBidi" w:hAnsiTheme="majorBidi" w:cstheme="majorBidi"/>
          <w:sz w:val="24"/>
          <w:szCs w:val="24"/>
        </w:rPr>
        <w:t xml:space="preserve">, M. (2023). ACE-I/D allele modulates improvements of cardiorespiratory function and muscle performance with interval-type exercise. </w:t>
      </w:r>
      <w:r w:rsidRPr="003B65DC">
        <w:rPr>
          <w:rFonts w:asciiTheme="majorBidi" w:hAnsiTheme="majorBidi" w:cstheme="majorBidi"/>
          <w:i/>
          <w:iCs/>
          <w:sz w:val="24"/>
          <w:szCs w:val="24"/>
        </w:rPr>
        <w:t>Genes</w:t>
      </w:r>
      <w:r w:rsidRPr="003B65DC">
        <w:rPr>
          <w:rFonts w:asciiTheme="majorBidi" w:hAnsiTheme="majorBidi" w:cstheme="majorBidi"/>
          <w:sz w:val="24"/>
          <w:szCs w:val="24"/>
        </w:rPr>
        <w:t xml:space="preserve">. </w:t>
      </w:r>
      <w:hyperlink r:id="rId27" w:history="1">
        <w:r w:rsidRPr="003B65DC">
          <w:rPr>
            <w:rStyle w:val="Hyperlink"/>
            <w:rFonts w:asciiTheme="majorBidi" w:hAnsiTheme="majorBidi" w:cstheme="majorBidi"/>
            <w:sz w:val="24"/>
            <w:szCs w:val="24"/>
          </w:rPr>
          <w:t>https://doi.org/10.3390/genes14051100</w:t>
        </w:r>
      </w:hyperlink>
    </w:p>
    <w:p w14:paraId="32EEC29D" w14:textId="77777777" w:rsidR="003B65DC" w:rsidRPr="003B65DC" w:rsidRDefault="003B65DC" w:rsidP="003B65DC">
      <w:pPr>
        <w:pStyle w:val="ListParagraph"/>
        <w:numPr>
          <w:ilvl w:val="0"/>
          <w:numId w:val="9"/>
        </w:numPr>
        <w:jc w:val="both"/>
        <w:rPr>
          <w:rFonts w:asciiTheme="majorBidi" w:hAnsiTheme="majorBidi" w:cstheme="majorBidi"/>
          <w:sz w:val="24"/>
          <w:szCs w:val="24"/>
        </w:rPr>
      </w:pPr>
      <w:r w:rsidRPr="003B65DC">
        <w:rPr>
          <w:rFonts w:asciiTheme="majorBidi" w:hAnsiTheme="majorBidi" w:cstheme="majorBidi"/>
          <w:sz w:val="24"/>
          <w:szCs w:val="24"/>
        </w:rPr>
        <w:t xml:space="preserve">Grover, V. K., Verma, J. P., Kumar, A., Sharma, N., &amp; Tiwari, P. K. (2025). R allele of ACTN3 R577X gene polymorphism is associated with elite Indian boxer status. </w:t>
      </w:r>
      <w:hyperlink r:id="rId28" w:history="1">
        <w:r w:rsidRPr="003B65DC">
          <w:rPr>
            <w:rStyle w:val="Hyperlink"/>
            <w:rFonts w:asciiTheme="majorBidi" w:hAnsiTheme="majorBidi" w:cstheme="majorBidi"/>
            <w:sz w:val="24"/>
            <w:szCs w:val="24"/>
          </w:rPr>
          <w:t>https://doi.org/10.1101/2025.01.20.633833</w:t>
        </w:r>
      </w:hyperlink>
    </w:p>
    <w:p w14:paraId="0CACD34F" w14:textId="77777777" w:rsidR="003B65DC" w:rsidRPr="003B65DC" w:rsidRDefault="003B65DC" w:rsidP="003B65DC">
      <w:pPr>
        <w:pStyle w:val="ListParagraph"/>
        <w:numPr>
          <w:ilvl w:val="0"/>
          <w:numId w:val="9"/>
        </w:numPr>
        <w:jc w:val="both"/>
        <w:rPr>
          <w:rFonts w:asciiTheme="majorBidi" w:hAnsiTheme="majorBidi" w:cstheme="majorBidi"/>
          <w:sz w:val="24"/>
          <w:szCs w:val="24"/>
        </w:rPr>
      </w:pPr>
      <w:r w:rsidRPr="003B65DC">
        <w:rPr>
          <w:rFonts w:asciiTheme="majorBidi" w:hAnsiTheme="majorBidi" w:cstheme="majorBidi"/>
          <w:sz w:val="24"/>
          <w:szCs w:val="24"/>
        </w:rPr>
        <w:t xml:space="preserve">Hadi, I., &amp; </w:t>
      </w:r>
      <w:proofErr w:type="spellStart"/>
      <w:r w:rsidRPr="003B65DC">
        <w:rPr>
          <w:rFonts w:asciiTheme="majorBidi" w:hAnsiTheme="majorBidi" w:cstheme="majorBidi"/>
          <w:sz w:val="24"/>
          <w:szCs w:val="24"/>
        </w:rPr>
        <w:t>Rosyanti</w:t>
      </w:r>
      <w:proofErr w:type="spellEnd"/>
      <w:r w:rsidRPr="003B65DC">
        <w:rPr>
          <w:rFonts w:asciiTheme="majorBidi" w:hAnsiTheme="majorBidi" w:cstheme="majorBidi"/>
          <w:sz w:val="24"/>
          <w:szCs w:val="24"/>
        </w:rPr>
        <w:t xml:space="preserve">, L. (2019). Genetic variation of I/D enzyme converting angiotensin (ACE) with athlete muscle resistance. </w:t>
      </w:r>
      <w:r w:rsidRPr="003B65DC">
        <w:rPr>
          <w:rFonts w:asciiTheme="majorBidi" w:hAnsiTheme="majorBidi" w:cstheme="majorBidi"/>
          <w:i/>
          <w:iCs/>
          <w:sz w:val="24"/>
          <w:szCs w:val="24"/>
        </w:rPr>
        <w:t>Health Notions</w:t>
      </w:r>
      <w:r w:rsidRPr="003B65DC">
        <w:rPr>
          <w:rFonts w:asciiTheme="majorBidi" w:hAnsiTheme="majorBidi" w:cstheme="majorBidi"/>
          <w:sz w:val="24"/>
          <w:szCs w:val="24"/>
        </w:rPr>
        <w:t xml:space="preserve">. </w:t>
      </w:r>
      <w:hyperlink r:id="rId29" w:history="1">
        <w:r w:rsidRPr="003B65DC">
          <w:rPr>
            <w:rStyle w:val="Hyperlink"/>
            <w:rFonts w:asciiTheme="majorBidi" w:hAnsiTheme="majorBidi" w:cstheme="majorBidi"/>
            <w:sz w:val="24"/>
            <w:szCs w:val="24"/>
          </w:rPr>
          <w:t>https://doi.org/10.33846/hn30306</w:t>
        </w:r>
      </w:hyperlink>
    </w:p>
    <w:p w14:paraId="5D33421B" w14:textId="77777777" w:rsidR="003B65DC" w:rsidRPr="003B65DC" w:rsidRDefault="003B65DC" w:rsidP="003B65DC">
      <w:pPr>
        <w:pStyle w:val="ListParagraph"/>
        <w:numPr>
          <w:ilvl w:val="0"/>
          <w:numId w:val="9"/>
        </w:numPr>
        <w:jc w:val="both"/>
        <w:rPr>
          <w:rFonts w:asciiTheme="majorBidi" w:hAnsiTheme="majorBidi" w:cstheme="majorBidi"/>
          <w:sz w:val="24"/>
          <w:szCs w:val="24"/>
        </w:rPr>
      </w:pPr>
      <w:r w:rsidRPr="003B65DC">
        <w:rPr>
          <w:rFonts w:asciiTheme="majorBidi" w:hAnsiTheme="majorBidi" w:cstheme="majorBidi"/>
          <w:sz w:val="24"/>
          <w:szCs w:val="24"/>
        </w:rPr>
        <w:t xml:space="preserve">Han, S.-C., Fu, T., Hsu, C., Huang, S., Lin, H.-Y., &amp; Wang, J. (2021). The validation of oxygen uptake efficiency slope in patients with stroke. </w:t>
      </w:r>
      <w:r w:rsidRPr="003B65DC">
        <w:rPr>
          <w:rFonts w:asciiTheme="majorBidi" w:hAnsiTheme="majorBidi" w:cstheme="majorBidi"/>
          <w:i/>
          <w:iCs/>
          <w:sz w:val="24"/>
          <w:szCs w:val="24"/>
        </w:rPr>
        <w:t>Medicine</w:t>
      </w:r>
      <w:r w:rsidRPr="003B65DC">
        <w:rPr>
          <w:rFonts w:asciiTheme="majorBidi" w:hAnsiTheme="majorBidi" w:cstheme="majorBidi"/>
          <w:sz w:val="24"/>
          <w:szCs w:val="24"/>
        </w:rPr>
        <w:t xml:space="preserve">. </w:t>
      </w:r>
      <w:hyperlink r:id="rId30" w:history="1">
        <w:r w:rsidRPr="003B65DC">
          <w:rPr>
            <w:rStyle w:val="Hyperlink"/>
            <w:rFonts w:asciiTheme="majorBidi" w:hAnsiTheme="majorBidi" w:cstheme="majorBidi"/>
            <w:sz w:val="24"/>
            <w:szCs w:val="24"/>
          </w:rPr>
          <w:t>https://doi.org/10.1097/MD.0000000000027384</w:t>
        </w:r>
      </w:hyperlink>
    </w:p>
    <w:p w14:paraId="127BFFCC" w14:textId="77777777" w:rsidR="003B65DC" w:rsidRPr="003B65DC" w:rsidRDefault="003B65DC" w:rsidP="003B65DC">
      <w:pPr>
        <w:pStyle w:val="ListParagraph"/>
        <w:numPr>
          <w:ilvl w:val="0"/>
          <w:numId w:val="9"/>
        </w:numPr>
        <w:jc w:val="both"/>
        <w:rPr>
          <w:rFonts w:asciiTheme="majorBidi" w:hAnsiTheme="majorBidi" w:cstheme="majorBidi"/>
          <w:sz w:val="24"/>
          <w:szCs w:val="24"/>
        </w:rPr>
      </w:pPr>
      <w:proofErr w:type="spellStart"/>
      <w:r w:rsidRPr="003B65DC">
        <w:rPr>
          <w:rFonts w:asciiTheme="majorBidi" w:hAnsiTheme="majorBidi" w:cstheme="majorBidi"/>
          <w:sz w:val="24"/>
          <w:szCs w:val="24"/>
        </w:rPr>
        <w:t>Kodli</w:t>
      </w:r>
      <w:proofErr w:type="spellEnd"/>
      <w:r w:rsidRPr="003B65DC">
        <w:rPr>
          <w:rFonts w:asciiTheme="majorBidi" w:hAnsiTheme="majorBidi" w:cstheme="majorBidi"/>
          <w:sz w:val="24"/>
          <w:szCs w:val="24"/>
        </w:rPr>
        <w:t xml:space="preserve">, U. (2023). Physiological adaptations to endurance, strength and interval training: Implications for health and performance. </w:t>
      </w:r>
      <w:r w:rsidRPr="003B65DC">
        <w:rPr>
          <w:rFonts w:asciiTheme="majorBidi" w:hAnsiTheme="majorBidi" w:cstheme="majorBidi"/>
          <w:i/>
          <w:iCs/>
          <w:sz w:val="24"/>
          <w:szCs w:val="24"/>
        </w:rPr>
        <w:t>International Journal of Physical Education, Sports and Health, 10</w:t>
      </w:r>
      <w:r w:rsidRPr="003B65DC">
        <w:rPr>
          <w:rFonts w:asciiTheme="majorBidi" w:hAnsiTheme="majorBidi" w:cstheme="majorBidi"/>
          <w:sz w:val="24"/>
          <w:szCs w:val="24"/>
        </w:rPr>
        <w:t xml:space="preserve">(1), 350–356. </w:t>
      </w:r>
      <w:hyperlink r:id="rId31" w:history="1">
        <w:r w:rsidRPr="003B65DC">
          <w:rPr>
            <w:rStyle w:val="Hyperlink"/>
            <w:rFonts w:asciiTheme="majorBidi" w:hAnsiTheme="majorBidi" w:cstheme="majorBidi"/>
            <w:sz w:val="24"/>
            <w:szCs w:val="24"/>
          </w:rPr>
          <w:t>https://doi.org/10.22271/kheljournal.2023.v10.i1e.3316</w:t>
        </w:r>
      </w:hyperlink>
    </w:p>
    <w:p w14:paraId="3A10DD7F" w14:textId="77777777" w:rsidR="003B65DC" w:rsidRPr="003B65DC" w:rsidRDefault="003B65DC" w:rsidP="003B65DC">
      <w:pPr>
        <w:pStyle w:val="ListParagraph"/>
        <w:numPr>
          <w:ilvl w:val="0"/>
          <w:numId w:val="9"/>
        </w:numPr>
        <w:jc w:val="both"/>
        <w:rPr>
          <w:rFonts w:asciiTheme="majorBidi" w:hAnsiTheme="majorBidi" w:cstheme="majorBidi"/>
          <w:sz w:val="24"/>
          <w:szCs w:val="24"/>
        </w:rPr>
      </w:pPr>
      <w:r w:rsidRPr="003B65DC">
        <w:rPr>
          <w:rFonts w:asciiTheme="majorBidi" w:hAnsiTheme="majorBidi" w:cstheme="majorBidi"/>
          <w:sz w:val="24"/>
          <w:szCs w:val="24"/>
        </w:rPr>
        <w:t xml:space="preserve">Lopes, T. R., Pereira, H. M., &amp; Silva, B. M. (2022). Perceived exertion: Revisiting the history and updating the neurophysiology and the practical applications. </w:t>
      </w:r>
      <w:r w:rsidRPr="003B65DC">
        <w:rPr>
          <w:rFonts w:asciiTheme="majorBidi" w:hAnsiTheme="majorBidi" w:cstheme="majorBidi"/>
          <w:i/>
          <w:iCs/>
          <w:sz w:val="24"/>
          <w:szCs w:val="24"/>
        </w:rPr>
        <w:t>International Journal of Environmental Research and Public Health</w:t>
      </w:r>
      <w:r w:rsidRPr="003B65DC">
        <w:rPr>
          <w:rFonts w:asciiTheme="majorBidi" w:hAnsiTheme="majorBidi" w:cstheme="majorBidi"/>
          <w:sz w:val="24"/>
          <w:szCs w:val="24"/>
        </w:rPr>
        <w:t xml:space="preserve">. </w:t>
      </w:r>
      <w:hyperlink r:id="rId32" w:history="1">
        <w:r w:rsidRPr="003B65DC">
          <w:rPr>
            <w:rStyle w:val="Hyperlink"/>
            <w:rFonts w:asciiTheme="majorBidi" w:hAnsiTheme="majorBidi" w:cstheme="majorBidi"/>
            <w:sz w:val="24"/>
            <w:szCs w:val="24"/>
          </w:rPr>
          <w:t>https://doi.org/10.3390/ijerph192114439</w:t>
        </w:r>
      </w:hyperlink>
    </w:p>
    <w:p w14:paraId="340E274E" w14:textId="77777777" w:rsidR="003B65DC" w:rsidRPr="003B65DC" w:rsidRDefault="003B65DC" w:rsidP="003B65DC">
      <w:pPr>
        <w:pStyle w:val="ListParagraph"/>
        <w:numPr>
          <w:ilvl w:val="0"/>
          <w:numId w:val="9"/>
        </w:numPr>
        <w:jc w:val="both"/>
        <w:rPr>
          <w:rFonts w:asciiTheme="majorBidi" w:hAnsiTheme="majorBidi" w:cstheme="majorBidi"/>
          <w:sz w:val="24"/>
          <w:szCs w:val="24"/>
        </w:rPr>
      </w:pPr>
      <w:r w:rsidRPr="003B65DC">
        <w:rPr>
          <w:rFonts w:asciiTheme="majorBidi" w:hAnsiTheme="majorBidi" w:cstheme="majorBidi"/>
          <w:sz w:val="24"/>
          <w:szCs w:val="24"/>
        </w:rPr>
        <w:t xml:space="preserve">López, P., &amp; Santos‐García, D. J. (2025). High intensity functional training in hybrid competitions: A scoping review of performance models and physiological adaptations. </w:t>
      </w:r>
      <w:r w:rsidRPr="003B65DC">
        <w:rPr>
          <w:rFonts w:asciiTheme="majorBidi" w:hAnsiTheme="majorBidi" w:cstheme="majorBidi"/>
          <w:i/>
          <w:iCs/>
          <w:sz w:val="24"/>
          <w:szCs w:val="24"/>
        </w:rPr>
        <w:t>Journal of Functional Morphology and Kinesiology</w:t>
      </w:r>
      <w:r w:rsidRPr="003B65DC">
        <w:rPr>
          <w:rFonts w:asciiTheme="majorBidi" w:hAnsiTheme="majorBidi" w:cstheme="majorBidi"/>
          <w:sz w:val="24"/>
          <w:szCs w:val="24"/>
        </w:rPr>
        <w:t xml:space="preserve">. </w:t>
      </w:r>
      <w:hyperlink r:id="rId33" w:history="1">
        <w:r w:rsidRPr="003B65DC">
          <w:rPr>
            <w:rStyle w:val="Hyperlink"/>
            <w:rFonts w:asciiTheme="majorBidi" w:hAnsiTheme="majorBidi" w:cstheme="majorBidi"/>
            <w:sz w:val="24"/>
            <w:szCs w:val="24"/>
          </w:rPr>
          <w:t>https://doi.org/10.3390/jfmk10040365</w:t>
        </w:r>
      </w:hyperlink>
    </w:p>
    <w:p w14:paraId="1E06B0D5" w14:textId="77777777" w:rsidR="003B65DC" w:rsidRPr="003B65DC" w:rsidRDefault="003B65DC" w:rsidP="003B65DC">
      <w:pPr>
        <w:pStyle w:val="ListParagraph"/>
        <w:numPr>
          <w:ilvl w:val="0"/>
          <w:numId w:val="9"/>
        </w:numPr>
        <w:jc w:val="both"/>
        <w:rPr>
          <w:rFonts w:asciiTheme="majorBidi" w:hAnsiTheme="majorBidi" w:cstheme="majorBidi"/>
          <w:sz w:val="24"/>
          <w:szCs w:val="24"/>
        </w:rPr>
      </w:pPr>
      <w:r w:rsidRPr="003B65DC">
        <w:rPr>
          <w:rFonts w:asciiTheme="majorBidi" w:hAnsiTheme="majorBidi" w:cstheme="majorBidi"/>
          <w:sz w:val="24"/>
          <w:szCs w:val="24"/>
        </w:rPr>
        <w:lastRenderedPageBreak/>
        <w:t xml:space="preserve">Montes‐de‐Oca‐García, A., Pérez‐Bey, A., Velázquez‐Díaz, D., Corral‐Pérez, J., Opazo‐Díaz, E., Rebollo‐Ramos, M., Gómez‐Gallego, F., Cuenca‐García, M., Casals, C., &amp; Ponce‐González, J. G. (2021). Influence of ACE gene I/D polymorphism on cardiometabolic risk, maximal fat oxidation, cardiorespiratory fitness, diet and physical activity in young adults. </w:t>
      </w:r>
      <w:r w:rsidRPr="003B65DC">
        <w:rPr>
          <w:rFonts w:asciiTheme="majorBidi" w:hAnsiTheme="majorBidi" w:cstheme="majorBidi"/>
          <w:i/>
          <w:iCs/>
          <w:sz w:val="24"/>
          <w:szCs w:val="24"/>
        </w:rPr>
        <w:t>International Journal of Environmental Research and Public Health</w:t>
      </w:r>
      <w:r w:rsidRPr="003B65DC">
        <w:rPr>
          <w:rFonts w:asciiTheme="majorBidi" w:hAnsiTheme="majorBidi" w:cstheme="majorBidi"/>
          <w:sz w:val="24"/>
          <w:szCs w:val="24"/>
        </w:rPr>
        <w:t xml:space="preserve">. </w:t>
      </w:r>
      <w:hyperlink r:id="rId34" w:history="1">
        <w:r w:rsidRPr="003B65DC">
          <w:rPr>
            <w:rStyle w:val="Hyperlink"/>
            <w:rFonts w:asciiTheme="majorBidi" w:hAnsiTheme="majorBidi" w:cstheme="majorBidi"/>
            <w:sz w:val="24"/>
            <w:szCs w:val="24"/>
          </w:rPr>
          <w:t>https://doi.org/10.3390/ijerph18073443</w:t>
        </w:r>
      </w:hyperlink>
    </w:p>
    <w:p w14:paraId="01BA9886" w14:textId="77777777" w:rsidR="003B65DC" w:rsidRPr="003B65DC" w:rsidRDefault="003B65DC" w:rsidP="003B65DC">
      <w:pPr>
        <w:pStyle w:val="ListParagraph"/>
        <w:numPr>
          <w:ilvl w:val="0"/>
          <w:numId w:val="9"/>
        </w:numPr>
        <w:jc w:val="both"/>
        <w:rPr>
          <w:rFonts w:asciiTheme="majorBidi" w:hAnsiTheme="majorBidi" w:cstheme="majorBidi"/>
          <w:sz w:val="24"/>
          <w:szCs w:val="24"/>
        </w:rPr>
      </w:pPr>
      <w:r w:rsidRPr="003B65DC">
        <w:rPr>
          <w:rFonts w:asciiTheme="majorBidi" w:hAnsiTheme="majorBidi" w:cstheme="majorBidi"/>
          <w:sz w:val="24"/>
          <w:szCs w:val="24"/>
        </w:rPr>
        <w:t xml:space="preserve">Nakahara, H., Ueda, S., Kawai, E., </w:t>
      </w:r>
      <w:proofErr w:type="spellStart"/>
      <w:r w:rsidRPr="003B65DC">
        <w:rPr>
          <w:rFonts w:asciiTheme="majorBidi" w:hAnsiTheme="majorBidi" w:cstheme="majorBidi"/>
          <w:sz w:val="24"/>
          <w:szCs w:val="24"/>
        </w:rPr>
        <w:t>Higashiura</w:t>
      </w:r>
      <w:proofErr w:type="spellEnd"/>
      <w:r w:rsidRPr="003B65DC">
        <w:rPr>
          <w:rFonts w:asciiTheme="majorBidi" w:hAnsiTheme="majorBidi" w:cstheme="majorBidi"/>
          <w:sz w:val="24"/>
          <w:szCs w:val="24"/>
        </w:rPr>
        <w:t xml:space="preserve">, R., &amp; Miyamoto, T. (2021). Effects of pre-exercise acupuncture stimulation on heart rate response during short-duration exercise. </w:t>
      </w:r>
      <w:r w:rsidRPr="003B65DC">
        <w:rPr>
          <w:rFonts w:asciiTheme="majorBidi" w:hAnsiTheme="majorBidi" w:cstheme="majorBidi"/>
          <w:i/>
          <w:iCs/>
          <w:sz w:val="24"/>
          <w:szCs w:val="24"/>
        </w:rPr>
        <w:t>BMC Sports Science, Medicine and Rehabilitation</w:t>
      </w:r>
      <w:r w:rsidRPr="003B65DC">
        <w:rPr>
          <w:rFonts w:asciiTheme="majorBidi" w:hAnsiTheme="majorBidi" w:cstheme="majorBidi"/>
          <w:sz w:val="24"/>
          <w:szCs w:val="24"/>
        </w:rPr>
        <w:t xml:space="preserve">. </w:t>
      </w:r>
      <w:hyperlink r:id="rId35" w:history="1">
        <w:r w:rsidRPr="003B65DC">
          <w:rPr>
            <w:rStyle w:val="Hyperlink"/>
            <w:rFonts w:asciiTheme="majorBidi" w:hAnsiTheme="majorBidi" w:cstheme="majorBidi"/>
            <w:sz w:val="24"/>
            <w:szCs w:val="24"/>
          </w:rPr>
          <w:t>https://doi.org/10.1186/s13102-021-00358-1</w:t>
        </w:r>
      </w:hyperlink>
    </w:p>
    <w:p w14:paraId="6E7A088B" w14:textId="77777777" w:rsidR="003B65DC" w:rsidRPr="003B65DC" w:rsidRDefault="003B65DC" w:rsidP="003B65DC">
      <w:pPr>
        <w:pStyle w:val="ListParagraph"/>
        <w:numPr>
          <w:ilvl w:val="0"/>
          <w:numId w:val="9"/>
        </w:numPr>
        <w:jc w:val="both"/>
        <w:rPr>
          <w:rFonts w:asciiTheme="majorBidi" w:hAnsiTheme="majorBidi" w:cstheme="majorBidi"/>
          <w:sz w:val="24"/>
          <w:szCs w:val="24"/>
        </w:rPr>
      </w:pPr>
      <w:r w:rsidRPr="003B65DC">
        <w:rPr>
          <w:rFonts w:asciiTheme="majorBidi" w:hAnsiTheme="majorBidi" w:cstheme="majorBidi"/>
          <w:sz w:val="24"/>
          <w:szCs w:val="24"/>
        </w:rPr>
        <w:t xml:space="preserve">Neto, S. L. de A., Santos, M. A. P. dos, Silvino, V. O., Herrera, J. J. B., Rosa, T. dos S., Silva, G. C. B., Couto, B. P., Ferreira, C. P., Silva, A. S., Almeida, S. S. de, &amp; Melo, G. F. de. (2024). Association between ACTN3 (R577X), ACE (I/D), BDKRB2 (-9/+9), and AGT (M268T) polymorphisms and performance phenotypes in Brazilian swimmers. </w:t>
      </w:r>
      <w:r w:rsidRPr="003B65DC">
        <w:rPr>
          <w:rFonts w:asciiTheme="majorBidi" w:hAnsiTheme="majorBidi" w:cstheme="majorBidi"/>
          <w:i/>
          <w:iCs/>
          <w:sz w:val="24"/>
          <w:szCs w:val="24"/>
        </w:rPr>
        <w:t>BMC Sports Science, Medicine and Rehabilitation</w:t>
      </w:r>
      <w:r w:rsidRPr="003B65DC">
        <w:rPr>
          <w:rFonts w:asciiTheme="majorBidi" w:hAnsiTheme="majorBidi" w:cstheme="majorBidi"/>
          <w:sz w:val="24"/>
          <w:szCs w:val="24"/>
        </w:rPr>
        <w:t xml:space="preserve">. </w:t>
      </w:r>
      <w:hyperlink r:id="rId36" w:history="1">
        <w:r w:rsidRPr="003B65DC">
          <w:rPr>
            <w:rStyle w:val="Hyperlink"/>
            <w:rFonts w:asciiTheme="majorBidi" w:hAnsiTheme="majorBidi" w:cstheme="majorBidi"/>
            <w:sz w:val="24"/>
            <w:szCs w:val="24"/>
          </w:rPr>
          <w:t>https://doi.org/10.1186/s13102-024-00828-2</w:t>
        </w:r>
      </w:hyperlink>
    </w:p>
    <w:p w14:paraId="5AA6C1B8" w14:textId="77777777" w:rsidR="003B65DC" w:rsidRPr="003B65DC" w:rsidRDefault="003B65DC" w:rsidP="003B65DC">
      <w:pPr>
        <w:pStyle w:val="ListParagraph"/>
        <w:numPr>
          <w:ilvl w:val="0"/>
          <w:numId w:val="9"/>
        </w:numPr>
        <w:jc w:val="both"/>
        <w:rPr>
          <w:rFonts w:asciiTheme="majorBidi" w:hAnsiTheme="majorBidi" w:cstheme="majorBidi"/>
          <w:sz w:val="24"/>
          <w:szCs w:val="24"/>
        </w:rPr>
      </w:pPr>
      <w:proofErr w:type="spellStart"/>
      <w:r w:rsidRPr="003B65DC">
        <w:rPr>
          <w:rFonts w:asciiTheme="majorBidi" w:hAnsiTheme="majorBidi" w:cstheme="majorBidi"/>
          <w:sz w:val="24"/>
          <w:szCs w:val="24"/>
        </w:rPr>
        <w:t>Nindorera</w:t>
      </w:r>
      <w:proofErr w:type="spellEnd"/>
      <w:r w:rsidRPr="003B65DC">
        <w:rPr>
          <w:rFonts w:asciiTheme="majorBidi" w:hAnsiTheme="majorBidi" w:cstheme="majorBidi"/>
          <w:sz w:val="24"/>
          <w:szCs w:val="24"/>
        </w:rPr>
        <w:t xml:space="preserve">, F., Lévêque, C., Meyer, E. G., Balestra, C., &amp; Theunissen, S. (2025). Optimizing physical fitness in chronic stroke patients: The impact of exercise training modality and dosage on maximal and sub-maximal fitness – A systematic review and meta-analysis. </w:t>
      </w:r>
      <w:r w:rsidRPr="003B65DC">
        <w:rPr>
          <w:rFonts w:asciiTheme="majorBidi" w:hAnsiTheme="majorBidi" w:cstheme="majorBidi"/>
          <w:i/>
          <w:iCs/>
          <w:sz w:val="24"/>
          <w:szCs w:val="24"/>
        </w:rPr>
        <w:t>Journal of Rehabilitation Medicine</w:t>
      </w:r>
      <w:r w:rsidRPr="003B65DC">
        <w:rPr>
          <w:rFonts w:asciiTheme="majorBidi" w:hAnsiTheme="majorBidi" w:cstheme="majorBidi"/>
          <w:sz w:val="24"/>
          <w:szCs w:val="24"/>
        </w:rPr>
        <w:t xml:space="preserve">. </w:t>
      </w:r>
      <w:hyperlink r:id="rId37" w:history="1">
        <w:r w:rsidRPr="003B65DC">
          <w:rPr>
            <w:rStyle w:val="Hyperlink"/>
            <w:rFonts w:asciiTheme="majorBidi" w:hAnsiTheme="majorBidi" w:cstheme="majorBidi"/>
            <w:sz w:val="24"/>
            <w:szCs w:val="24"/>
          </w:rPr>
          <w:t>https://doi.org/10.2340/jrm.v57.43359</w:t>
        </w:r>
      </w:hyperlink>
    </w:p>
    <w:p w14:paraId="4A629F1D" w14:textId="77777777" w:rsidR="003B65DC" w:rsidRPr="003B65DC" w:rsidRDefault="003B65DC" w:rsidP="003B65DC">
      <w:pPr>
        <w:pStyle w:val="ListParagraph"/>
        <w:numPr>
          <w:ilvl w:val="0"/>
          <w:numId w:val="9"/>
        </w:numPr>
        <w:jc w:val="both"/>
        <w:rPr>
          <w:rFonts w:asciiTheme="majorBidi" w:hAnsiTheme="majorBidi" w:cstheme="majorBidi"/>
          <w:sz w:val="24"/>
          <w:szCs w:val="24"/>
        </w:rPr>
      </w:pPr>
      <w:r w:rsidRPr="003B65DC">
        <w:rPr>
          <w:rFonts w:asciiTheme="majorBidi" w:hAnsiTheme="majorBidi" w:cstheme="majorBidi"/>
          <w:sz w:val="24"/>
          <w:szCs w:val="24"/>
        </w:rPr>
        <w:t xml:space="preserve">Ouali, E. M. El, </w:t>
      </w:r>
      <w:proofErr w:type="spellStart"/>
      <w:r w:rsidRPr="003B65DC">
        <w:rPr>
          <w:rFonts w:asciiTheme="majorBidi" w:hAnsiTheme="majorBidi" w:cstheme="majorBidi"/>
          <w:sz w:val="24"/>
          <w:szCs w:val="24"/>
        </w:rPr>
        <w:t>Kartibou</w:t>
      </w:r>
      <w:proofErr w:type="spellEnd"/>
      <w:r w:rsidRPr="003B65DC">
        <w:rPr>
          <w:rFonts w:asciiTheme="majorBidi" w:hAnsiTheme="majorBidi" w:cstheme="majorBidi"/>
          <w:sz w:val="24"/>
          <w:szCs w:val="24"/>
        </w:rPr>
        <w:t xml:space="preserve">, J., Coso, J. Del, Supriya, R., Laher, I., Kettani, Z. El, Ghazal, H., Idrissi, N. Al, Saeidi, A., </w:t>
      </w:r>
      <w:proofErr w:type="spellStart"/>
      <w:r w:rsidRPr="003B65DC">
        <w:rPr>
          <w:rFonts w:asciiTheme="majorBidi" w:hAnsiTheme="majorBidi" w:cstheme="majorBidi"/>
          <w:sz w:val="24"/>
          <w:szCs w:val="24"/>
        </w:rPr>
        <w:t>Mesfioui</w:t>
      </w:r>
      <w:proofErr w:type="spellEnd"/>
      <w:r w:rsidRPr="003B65DC">
        <w:rPr>
          <w:rFonts w:asciiTheme="majorBidi" w:hAnsiTheme="majorBidi" w:cstheme="majorBidi"/>
          <w:sz w:val="24"/>
          <w:szCs w:val="24"/>
        </w:rPr>
        <w:t xml:space="preserve">, A., &amp; </w:t>
      </w:r>
      <w:proofErr w:type="spellStart"/>
      <w:r w:rsidRPr="003B65DC">
        <w:rPr>
          <w:rFonts w:asciiTheme="majorBidi" w:hAnsiTheme="majorBidi" w:cstheme="majorBidi"/>
          <w:sz w:val="24"/>
          <w:szCs w:val="24"/>
        </w:rPr>
        <w:t>Zouhal</w:t>
      </w:r>
      <w:proofErr w:type="spellEnd"/>
      <w:r w:rsidRPr="003B65DC">
        <w:rPr>
          <w:rFonts w:asciiTheme="majorBidi" w:hAnsiTheme="majorBidi" w:cstheme="majorBidi"/>
          <w:sz w:val="24"/>
          <w:szCs w:val="24"/>
        </w:rPr>
        <w:t xml:space="preserve">, H. (2025). ACE I/D genotype and risk of non-contact injury in Moroccan elite athletes: A pilot study. </w:t>
      </w:r>
      <w:r w:rsidRPr="003B65DC">
        <w:rPr>
          <w:rFonts w:asciiTheme="majorBidi" w:hAnsiTheme="majorBidi" w:cstheme="majorBidi"/>
          <w:i/>
          <w:iCs/>
          <w:sz w:val="24"/>
          <w:szCs w:val="24"/>
        </w:rPr>
        <w:t>Medicina</w:t>
      </w:r>
      <w:r w:rsidRPr="003B65DC">
        <w:rPr>
          <w:rFonts w:asciiTheme="majorBidi" w:hAnsiTheme="majorBidi" w:cstheme="majorBidi"/>
          <w:sz w:val="24"/>
          <w:szCs w:val="24"/>
        </w:rPr>
        <w:t xml:space="preserve">. </w:t>
      </w:r>
      <w:hyperlink r:id="rId38" w:history="1">
        <w:r w:rsidRPr="003B65DC">
          <w:rPr>
            <w:rStyle w:val="Hyperlink"/>
            <w:rFonts w:asciiTheme="majorBidi" w:hAnsiTheme="majorBidi" w:cstheme="majorBidi"/>
            <w:sz w:val="24"/>
            <w:szCs w:val="24"/>
          </w:rPr>
          <w:t>https://doi.org/10.3390/medicina61010098</w:t>
        </w:r>
      </w:hyperlink>
    </w:p>
    <w:p w14:paraId="447EEB42" w14:textId="77777777" w:rsidR="003B65DC" w:rsidRPr="003B65DC" w:rsidRDefault="003B65DC" w:rsidP="003B65DC">
      <w:pPr>
        <w:pStyle w:val="ListParagraph"/>
        <w:numPr>
          <w:ilvl w:val="0"/>
          <w:numId w:val="9"/>
        </w:numPr>
        <w:jc w:val="both"/>
        <w:rPr>
          <w:rFonts w:asciiTheme="majorBidi" w:hAnsiTheme="majorBidi" w:cstheme="majorBidi"/>
          <w:sz w:val="24"/>
          <w:szCs w:val="24"/>
        </w:rPr>
      </w:pPr>
      <w:r w:rsidRPr="003B65DC">
        <w:rPr>
          <w:rFonts w:asciiTheme="majorBidi" w:hAnsiTheme="majorBidi" w:cstheme="majorBidi"/>
          <w:sz w:val="24"/>
          <w:szCs w:val="24"/>
        </w:rPr>
        <w:t xml:space="preserve">Rolim, P. da S., Matos, R. A. da C., Soares, E. de M. K. V. K., Molina, G. E., &amp; Cruz, C. J. G. da. (2018). Caffeine increases parasympathetic reactivation without altering resting and exercise cardiac parasympathetic modulation: A balanced placebo design. </w:t>
      </w:r>
      <w:r w:rsidRPr="003B65DC">
        <w:rPr>
          <w:rFonts w:asciiTheme="majorBidi" w:hAnsiTheme="majorBidi" w:cstheme="majorBidi"/>
          <w:i/>
          <w:iCs/>
          <w:sz w:val="24"/>
          <w:szCs w:val="24"/>
        </w:rPr>
        <w:t>European Journal of Sport Science</w:t>
      </w:r>
      <w:r w:rsidRPr="003B65DC">
        <w:rPr>
          <w:rFonts w:asciiTheme="majorBidi" w:hAnsiTheme="majorBidi" w:cstheme="majorBidi"/>
          <w:sz w:val="24"/>
          <w:szCs w:val="24"/>
        </w:rPr>
        <w:t xml:space="preserve">. </w:t>
      </w:r>
      <w:hyperlink r:id="rId39" w:history="1">
        <w:r w:rsidRPr="003B65DC">
          <w:rPr>
            <w:rStyle w:val="Hyperlink"/>
            <w:rFonts w:asciiTheme="majorBidi" w:hAnsiTheme="majorBidi" w:cstheme="majorBidi"/>
            <w:sz w:val="24"/>
            <w:szCs w:val="24"/>
          </w:rPr>
          <w:t>https://doi.org/10.1080/17461391.2018.1532532</w:t>
        </w:r>
      </w:hyperlink>
    </w:p>
    <w:p w14:paraId="54142701" w14:textId="77777777" w:rsidR="003B65DC" w:rsidRPr="003B65DC" w:rsidRDefault="003B65DC" w:rsidP="003B65DC">
      <w:pPr>
        <w:pStyle w:val="ListParagraph"/>
        <w:numPr>
          <w:ilvl w:val="0"/>
          <w:numId w:val="9"/>
        </w:numPr>
        <w:jc w:val="both"/>
        <w:rPr>
          <w:rFonts w:asciiTheme="majorBidi" w:hAnsiTheme="majorBidi" w:cstheme="majorBidi"/>
          <w:sz w:val="24"/>
          <w:szCs w:val="24"/>
        </w:rPr>
      </w:pPr>
      <w:r w:rsidRPr="003B65DC">
        <w:rPr>
          <w:rFonts w:asciiTheme="majorBidi" w:hAnsiTheme="majorBidi" w:cstheme="majorBidi"/>
          <w:sz w:val="24"/>
          <w:szCs w:val="24"/>
        </w:rPr>
        <w:t xml:space="preserve">Sandroff, B. M., Baird, J. F., Silveira, S. L., &amp; Motl, R. W. (2018). Response heterogeneity in fitness, mobility and cognition with exercise-training in MS. </w:t>
      </w:r>
      <w:r w:rsidRPr="003B65DC">
        <w:rPr>
          <w:rFonts w:asciiTheme="majorBidi" w:hAnsiTheme="majorBidi" w:cstheme="majorBidi"/>
          <w:i/>
          <w:iCs/>
          <w:sz w:val="24"/>
          <w:szCs w:val="24"/>
        </w:rPr>
        <w:t xml:space="preserve">Acta </w:t>
      </w:r>
      <w:proofErr w:type="spellStart"/>
      <w:r w:rsidRPr="003B65DC">
        <w:rPr>
          <w:rFonts w:asciiTheme="majorBidi" w:hAnsiTheme="majorBidi" w:cstheme="majorBidi"/>
          <w:i/>
          <w:iCs/>
          <w:sz w:val="24"/>
          <w:szCs w:val="24"/>
        </w:rPr>
        <w:t>Neurologica</w:t>
      </w:r>
      <w:proofErr w:type="spellEnd"/>
      <w:r w:rsidRPr="003B65DC">
        <w:rPr>
          <w:rFonts w:asciiTheme="majorBidi" w:hAnsiTheme="majorBidi" w:cstheme="majorBidi"/>
          <w:i/>
          <w:iCs/>
          <w:sz w:val="24"/>
          <w:szCs w:val="24"/>
        </w:rPr>
        <w:t xml:space="preserve"> Scandinavica</w:t>
      </w:r>
      <w:r w:rsidRPr="003B65DC">
        <w:rPr>
          <w:rFonts w:asciiTheme="majorBidi" w:hAnsiTheme="majorBidi" w:cstheme="majorBidi"/>
          <w:sz w:val="24"/>
          <w:szCs w:val="24"/>
        </w:rPr>
        <w:t xml:space="preserve">. </w:t>
      </w:r>
      <w:hyperlink r:id="rId40" w:history="1">
        <w:r w:rsidRPr="003B65DC">
          <w:rPr>
            <w:rStyle w:val="Hyperlink"/>
            <w:rFonts w:asciiTheme="majorBidi" w:hAnsiTheme="majorBidi" w:cstheme="majorBidi"/>
            <w:sz w:val="24"/>
            <w:szCs w:val="24"/>
          </w:rPr>
          <w:t>https://doi.org/10.1111/ane.13041</w:t>
        </w:r>
      </w:hyperlink>
    </w:p>
    <w:p w14:paraId="24293E03" w14:textId="77777777" w:rsidR="003B65DC" w:rsidRPr="003B65DC" w:rsidRDefault="003B65DC" w:rsidP="003B65DC">
      <w:pPr>
        <w:pStyle w:val="ListParagraph"/>
        <w:numPr>
          <w:ilvl w:val="0"/>
          <w:numId w:val="9"/>
        </w:numPr>
        <w:jc w:val="both"/>
        <w:rPr>
          <w:rFonts w:asciiTheme="majorBidi" w:hAnsiTheme="majorBidi" w:cstheme="majorBidi"/>
          <w:sz w:val="24"/>
          <w:szCs w:val="24"/>
        </w:rPr>
      </w:pPr>
      <w:r w:rsidRPr="003B65DC">
        <w:rPr>
          <w:rFonts w:asciiTheme="majorBidi" w:hAnsiTheme="majorBidi" w:cstheme="majorBidi"/>
          <w:sz w:val="24"/>
          <w:szCs w:val="24"/>
        </w:rPr>
        <w:t xml:space="preserve">Soares, N. de J. S., Senna, C., Filho, C. A. A. D., Rodrigues, B., Irigoyen, M. C., Mendes, V., Ferreira, A. B., Dias, C. J. M., &amp; </w:t>
      </w:r>
      <w:proofErr w:type="spellStart"/>
      <w:r w:rsidRPr="003B65DC">
        <w:rPr>
          <w:rFonts w:asciiTheme="majorBidi" w:hAnsiTheme="majorBidi" w:cstheme="majorBidi"/>
          <w:sz w:val="24"/>
          <w:szCs w:val="24"/>
        </w:rPr>
        <w:t>Mostarda</w:t>
      </w:r>
      <w:proofErr w:type="spellEnd"/>
      <w:r w:rsidRPr="003B65DC">
        <w:rPr>
          <w:rFonts w:asciiTheme="majorBidi" w:hAnsiTheme="majorBidi" w:cstheme="majorBidi"/>
          <w:sz w:val="24"/>
          <w:szCs w:val="24"/>
        </w:rPr>
        <w:t xml:space="preserve">, C. T. (2023). Regular physical activity can contribute to preventing cardiovascular risk factors in adolescents with ACE gene polymorphism. </w:t>
      </w:r>
      <w:hyperlink r:id="rId41" w:history="1">
        <w:r w:rsidRPr="003B65DC">
          <w:rPr>
            <w:rStyle w:val="Hyperlink"/>
            <w:rFonts w:asciiTheme="majorBidi" w:hAnsiTheme="majorBidi" w:cstheme="majorBidi"/>
            <w:sz w:val="24"/>
            <w:szCs w:val="24"/>
          </w:rPr>
          <w:t>https://doi.org/10.21203/rs.3.rs-3006317/v1</w:t>
        </w:r>
      </w:hyperlink>
    </w:p>
    <w:p w14:paraId="5D3CBB1A" w14:textId="77777777" w:rsidR="003B65DC" w:rsidRPr="003B65DC" w:rsidRDefault="003B65DC" w:rsidP="003B65DC">
      <w:pPr>
        <w:pStyle w:val="ListParagraph"/>
        <w:numPr>
          <w:ilvl w:val="0"/>
          <w:numId w:val="9"/>
        </w:numPr>
        <w:jc w:val="both"/>
        <w:rPr>
          <w:rFonts w:asciiTheme="majorBidi" w:hAnsiTheme="majorBidi" w:cstheme="majorBidi"/>
          <w:sz w:val="24"/>
          <w:szCs w:val="24"/>
        </w:rPr>
      </w:pPr>
      <w:r w:rsidRPr="003B65DC">
        <w:rPr>
          <w:rFonts w:asciiTheme="majorBidi" w:hAnsiTheme="majorBidi" w:cstheme="majorBidi"/>
          <w:sz w:val="24"/>
          <w:szCs w:val="24"/>
        </w:rPr>
        <w:t xml:space="preserve">Taylor, J. L., Bonikowske, A. R., &amp; Olson, T. P. (2021). Optimizing outcomes in cardiac rehabilitation: The importance of exercise intensity. </w:t>
      </w:r>
      <w:r w:rsidRPr="003B65DC">
        <w:rPr>
          <w:rFonts w:asciiTheme="majorBidi" w:hAnsiTheme="majorBidi" w:cstheme="majorBidi"/>
          <w:i/>
          <w:iCs/>
          <w:sz w:val="24"/>
          <w:szCs w:val="24"/>
        </w:rPr>
        <w:t>Frontiers in Cardiovascular Medicine</w:t>
      </w:r>
      <w:r w:rsidRPr="003B65DC">
        <w:rPr>
          <w:rFonts w:asciiTheme="majorBidi" w:hAnsiTheme="majorBidi" w:cstheme="majorBidi"/>
          <w:sz w:val="24"/>
          <w:szCs w:val="24"/>
        </w:rPr>
        <w:t xml:space="preserve">. </w:t>
      </w:r>
      <w:hyperlink r:id="rId42" w:history="1">
        <w:r w:rsidRPr="003B65DC">
          <w:rPr>
            <w:rStyle w:val="Hyperlink"/>
            <w:rFonts w:asciiTheme="majorBidi" w:hAnsiTheme="majorBidi" w:cstheme="majorBidi"/>
            <w:sz w:val="24"/>
            <w:szCs w:val="24"/>
          </w:rPr>
          <w:t>https://doi.org/10.3389/fcvm.2021.734278</w:t>
        </w:r>
      </w:hyperlink>
    </w:p>
    <w:p w14:paraId="22BC4F04" w14:textId="31AB7C12" w:rsidR="003B65DC" w:rsidRPr="00593709" w:rsidRDefault="003B65DC" w:rsidP="00593709">
      <w:pPr>
        <w:pStyle w:val="ListParagraph"/>
        <w:numPr>
          <w:ilvl w:val="0"/>
          <w:numId w:val="9"/>
        </w:numPr>
        <w:jc w:val="both"/>
        <w:rPr>
          <w:rFonts w:asciiTheme="majorBidi" w:hAnsiTheme="majorBidi" w:cstheme="majorBidi"/>
          <w:sz w:val="24"/>
          <w:szCs w:val="24"/>
        </w:rPr>
      </w:pPr>
      <w:r w:rsidRPr="003B65DC">
        <w:rPr>
          <w:rFonts w:asciiTheme="majorBidi" w:hAnsiTheme="majorBidi" w:cstheme="majorBidi"/>
          <w:sz w:val="24"/>
          <w:szCs w:val="24"/>
        </w:rPr>
        <w:t xml:space="preserve">Valdivieso, P., Vaughan, D., Laczkó, E., </w:t>
      </w:r>
      <w:proofErr w:type="spellStart"/>
      <w:r w:rsidRPr="003B65DC">
        <w:rPr>
          <w:rFonts w:asciiTheme="majorBidi" w:hAnsiTheme="majorBidi" w:cstheme="majorBidi"/>
          <w:sz w:val="24"/>
          <w:szCs w:val="24"/>
        </w:rPr>
        <w:t>Brogioli</w:t>
      </w:r>
      <w:proofErr w:type="spellEnd"/>
      <w:r w:rsidRPr="003B65DC">
        <w:rPr>
          <w:rFonts w:asciiTheme="majorBidi" w:hAnsiTheme="majorBidi" w:cstheme="majorBidi"/>
          <w:sz w:val="24"/>
          <w:szCs w:val="24"/>
        </w:rPr>
        <w:t xml:space="preserve">, M., Waldron, S., Rittweger, J., &amp; </w:t>
      </w:r>
      <w:proofErr w:type="spellStart"/>
      <w:r w:rsidRPr="003B65DC">
        <w:rPr>
          <w:rFonts w:asciiTheme="majorBidi" w:hAnsiTheme="majorBidi" w:cstheme="majorBidi"/>
          <w:sz w:val="24"/>
          <w:szCs w:val="24"/>
        </w:rPr>
        <w:t>Flück</w:t>
      </w:r>
      <w:proofErr w:type="spellEnd"/>
      <w:r w:rsidRPr="003B65DC">
        <w:rPr>
          <w:rFonts w:asciiTheme="majorBidi" w:hAnsiTheme="majorBidi" w:cstheme="majorBidi"/>
          <w:sz w:val="24"/>
          <w:szCs w:val="24"/>
        </w:rPr>
        <w:t xml:space="preserve">, M. (2017). The metabolic response of skeletal muscle to endurance exercise is modified by the ACE-I/D gene polymorphism and training state. </w:t>
      </w:r>
      <w:r w:rsidRPr="003B65DC">
        <w:rPr>
          <w:rFonts w:asciiTheme="majorBidi" w:hAnsiTheme="majorBidi" w:cstheme="majorBidi"/>
          <w:i/>
          <w:iCs/>
          <w:sz w:val="24"/>
          <w:szCs w:val="24"/>
        </w:rPr>
        <w:t>Frontiers in Physiology</w:t>
      </w:r>
      <w:r w:rsidRPr="003B65DC">
        <w:rPr>
          <w:rFonts w:asciiTheme="majorBidi" w:hAnsiTheme="majorBidi" w:cstheme="majorBidi"/>
          <w:sz w:val="24"/>
          <w:szCs w:val="24"/>
        </w:rPr>
        <w:t xml:space="preserve">. </w:t>
      </w:r>
      <w:hyperlink r:id="rId43" w:history="1">
        <w:r w:rsidRPr="003B65DC">
          <w:rPr>
            <w:rStyle w:val="Hyperlink"/>
            <w:rFonts w:asciiTheme="majorBidi" w:hAnsiTheme="majorBidi" w:cstheme="majorBidi"/>
            <w:sz w:val="24"/>
            <w:szCs w:val="24"/>
          </w:rPr>
          <w:t>https://doi.org/10.3389/fphys.2017.00993</w:t>
        </w:r>
      </w:hyperlink>
    </w:p>
    <w:p w14:paraId="293D13CF" w14:textId="77777777" w:rsidR="003B65DC" w:rsidRDefault="003B65DC" w:rsidP="00056B82">
      <w:pPr>
        <w:jc w:val="both"/>
        <w:rPr>
          <w:rFonts w:asciiTheme="majorBidi" w:hAnsiTheme="majorBidi" w:cstheme="majorBidi"/>
          <w:sz w:val="24"/>
          <w:szCs w:val="24"/>
        </w:rPr>
      </w:pPr>
    </w:p>
    <w:p w14:paraId="45B6D69E" w14:textId="77777777" w:rsidR="003B65DC" w:rsidRPr="002862F3" w:rsidRDefault="003B65DC" w:rsidP="003B65DC">
      <w:pPr>
        <w:snapToGrid w:val="0"/>
        <w:rPr>
          <w:b/>
          <w:bCs/>
          <w:sz w:val="24"/>
          <w:szCs w:val="24"/>
        </w:rPr>
      </w:pPr>
      <w:r w:rsidRPr="002862F3">
        <w:rPr>
          <w:b/>
          <w:bCs/>
          <w:sz w:val="24"/>
          <w:szCs w:val="24"/>
        </w:rPr>
        <w:t xml:space="preserve">TABLE AND FIGURE </w:t>
      </w:r>
    </w:p>
    <w:p w14:paraId="22161F2D" w14:textId="12543A00" w:rsidR="003B65DC" w:rsidRDefault="003B65DC" w:rsidP="003B65DC">
      <w:pPr>
        <w:jc w:val="both"/>
        <w:rPr>
          <w:sz w:val="24"/>
          <w:szCs w:val="24"/>
        </w:rPr>
      </w:pPr>
      <w:r w:rsidRPr="002862F3">
        <w:rPr>
          <w:sz w:val="24"/>
          <w:szCs w:val="24"/>
        </w:rPr>
        <w:t>Table 1. Heart Rate Dynamics During a 6-Minute Cycle Ergometer Exercise According to ACE Gene Polymorphism After a 3-Month Fartlek Training Program</w:t>
      </w:r>
    </w:p>
    <w:tbl>
      <w:tblPr>
        <w:tblpPr w:leftFromText="180" w:rightFromText="180" w:vertAnchor="text" w:horzAnchor="margin" w:tblpXSpec="center" w:tblpY="-9"/>
        <w:tblW w:w="7703" w:type="dxa"/>
        <w:tblLook w:val="04A0" w:firstRow="1" w:lastRow="0" w:firstColumn="1" w:lastColumn="0" w:noHBand="0" w:noVBand="1"/>
      </w:tblPr>
      <w:tblGrid>
        <w:gridCol w:w="627"/>
        <w:gridCol w:w="866"/>
        <w:gridCol w:w="1035"/>
        <w:gridCol w:w="1035"/>
        <w:gridCol w:w="1035"/>
        <w:gridCol w:w="1035"/>
        <w:gridCol w:w="1035"/>
        <w:gridCol w:w="1035"/>
      </w:tblGrid>
      <w:tr w:rsidR="003B65DC" w:rsidRPr="002862F3" w14:paraId="7C0312CF" w14:textId="77777777" w:rsidTr="008D226B">
        <w:trPr>
          <w:trHeight w:val="450"/>
        </w:trPr>
        <w:tc>
          <w:tcPr>
            <w:tcW w:w="616" w:type="dxa"/>
            <w:tcBorders>
              <w:top w:val="single" w:sz="4" w:space="0" w:color="auto"/>
              <w:left w:val="nil"/>
              <w:bottom w:val="single" w:sz="4" w:space="0" w:color="auto"/>
              <w:right w:val="nil"/>
            </w:tcBorders>
            <w:vAlign w:val="center"/>
            <w:hideMark/>
          </w:tcPr>
          <w:p w14:paraId="5A5E57AE" w14:textId="77777777" w:rsidR="003B65DC" w:rsidRPr="002862F3" w:rsidRDefault="003B65DC" w:rsidP="008D226B">
            <w:pPr>
              <w:jc w:val="center"/>
              <w:rPr>
                <w:b/>
                <w:bCs/>
                <w:color w:val="000000"/>
                <w:sz w:val="18"/>
                <w:szCs w:val="18"/>
              </w:rPr>
            </w:pPr>
            <w:r w:rsidRPr="002862F3">
              <w:rPr>
                <w:b/>
                <w:bCs/>
                <w:color w:val="000000"/>
                <w:sz w:val="18"/>
                <w:szCs w:val="18"/>
              </w:rPr>
              <w:t>Gen</w:t>
            </w:r>
          </w:p>
        </w:tc>
        <w:tc>
          <w:tcPr>
            <w:tcW w:w="877" w:type="dxa"/>
            <w:tcBorders>
              <w:top w:val="single" w:sz="4" w:space="0" w:color="auto"/>
              <w:left w:val="nil"/>
              <w:bottom w:val="single" w:sz="4" w:space="0" w:color="auto"/>
              <w:right w:val="nil"/>
            </w:tcBorders>
            <w:vAlign w:val="center"/>
            <w:hideMark/>
          </w:tcPr>
          <w:p w14:paraId="7056A006" w14:textId="77777777" w:rsidR="003B65DC" w:rsidRPr="002862F3" w:rsidRDefault="003B65DC" w:rsidP="008D226B">
            <w:pPr>
              <w:jc w:val="center"/>
              <w:rPr>
                <w:b/>
                <w:bCs/>
                <w:color w:val="000000"/>
                <w:sz w:val="18"/>
                <w:szCs w:val="18"/>
              </w:rPr>
            </w:pPr>
            <w:proofErr w:type="spellStart"/>
            <w:r w:rsidRPr="002862F3">
              <w:rPr>
                <w:b/>
                <w:bCs/>
                <w:color w:val="000000"/>
                <w:sz w:val="18"/>
                <w:szCs w:val="18"/>
              </w:rPr>
              <w:t>Observ</w:t>
            </w:r>
            <w:proofErr w:type="spellEnd"/>
            <w:r w:rsidRPr="002862F3">
              <w:rPr>
                <w:b/>
                <w:bCs/>
                <w:color w:val="000000"/>
                <w:sz w:val="18"/>
                <w:szCs w:val="18"/>
              </w:rPr>
              <w:t>.</w:t>
            </w:r>
          </w:p>
        </w:tc>
        <w:tc>
          <w:tcPr>
            <w:tcW w:w="1035" w:type="dxa"/>
            <w:tcBorders>
              <w:top w:val="single" w:sz="4" w:space="0" w:color="auto"/>
              <w:left w:val="nil"/>
              <w:bottom w:val="single" w:sz="4" w:space="0" w:color="auto"/>
              <w:right w:val="nil"/>
            </w:tcBorders>
            <w:vAlign w:val="center"/>
          </w:tcPr>
          <w:p w14:paraId="46460303" w14:textId="77777777" w:rsidR="003B65DC" w:rsidRPr="002862F3" w:rsidRDefault="003B65DC" w:rsidP="008D226B">
            <w:pPr>
              <w:jc w:val="center"/>
              <w:rPr>
                <w:b/>
                <w:bCs/>
                <w:color w:val="000000"/>
                <w:sz w:val="18"/>
                <w:szCs w:val="18"/>
              </w:rPr>
            </w:pPr>
            <w:r w:rsidRPr="002862F3">
              <w:rPr>
                <w:b/>
                <w:bCs/>
                <w:color w:val="000000"/>
                <w:sz w:val="18"/>
                <w:szCs w:val="18"/>
              </w:rPr>
              <w:t>HR-CE 1</w:t>
            </w:r>
          </w:p>
          <w:p w14:paraId="06EE553F" w14:textId="77777777" w:rsidR="003B65DC" w:rsidRPr="002862F3" w:rsidRDefault="003B65DC" w:rsidP="008D226B">
            <w:pPr>
              <w:jc w:val="center"/>
              <w:rPr>
                <w:b/>
                <w:bCs/>
                <w:color w:val="000000"/>
                <w:sz w:val="18"/>
                <w:szCs w:val="18"/>
              </w:rPr>
            </w:pPr>
            <w:proofErr w:type="spellStart"/>
            <w:r w:rsidRPr="002862F3">
              <w:rPr>
                <w:b/>
                <w:sz w:val="18"/>
                <w:szCs w:val="18"/>
              </w:rPr>
              <w:t>Mean±SD</w:t>
            </w:r>
            <w:proofErr w:type="spellEnd"/>
          </w:p>
        </w:tc>
        <w:tc>
          <w:tcPr>
            <w:tcW w:w="1035" w:type="dxa"/>
            <w:tcBorders>
              <w:top w:val="single" w:sz="4" w:space="0" w:color="auto"/>
              <w:left w:val="nil"/>
              <w:bottom w:val="single" w:sz="4" w:space="0" w:color="auto"/>
              <w:right w:val="nil"/>
            </w:tcBorders>
            <w:vAlign w:val="center"/>
          </w:tcPr>
          <w:p w14:paraId="00490C7C" w14:textId="77777777" w:rsidR="003B65DC" w:rsidRPr="002862F3" w:rsidRDefault="003B65DC" w:rsidP="008D226B">
            <w:pPr>
              <w:jc w:val="center"/>
              <w:rPr>
                <w:b/>
                <w:bCs/>
                <w:color w:val="000000"/>
                <w:sz w:val="18"/>
                <w:szCs w:val="18"/>
              </w:rPr>
            </w:pPr>
            <w:r w:rsidRPr="002862F3">
              <w:rPr>
                <w:b/>
                <w:bCs/>
                <w:color w:val="000000"/>
                <w:sz w:val="18"/>
                <w:szCs w:val="18"/>
              </w:rPr>
              <w:t>HR-CE 2</w:t>
            </w:r>
          </w:p>
          <w:p w14:paraId="0D70A62D" w14:textId="77777777" w:rsidR="003B65DC" w:rsidRPr="002862F3" w:rsidRDefault="003B65DC" w:rsidP="008D226B">
            <w:pPr>
              <w:jc w:val="center"/>
              <w:rPr>
                <w:b/>
                <w:bCs/>
                <w:color w:val="000000"/>
                <w:sz w:val="18"/>
                <w:szCs w:val="18"/>
              </w:rPr>
            </w:pPr>
            <w:proofErr w:type="spellStart"/>
            <w:r w:rsidRPr="002862F3">
              <w:rPr>
                <w:b/>
                <w:sz w:val="18"/>
                <w:szCs w:val="18"/>
              </w:rPr>
              <w:t>Mean±SD</w:t>
            </w:r>
            <w:proofErr w:type="spellEnd"/>
          </w:p>
        </w:tc>
        <w:tc>
          <w:tcPr>
            <w:tcW w:w="1035" w:type="dxa"/>
            <w:tcBorders>
              <w:top w:val="single" w:sz="4" w:space="0" w:color="auto"/>
              <w:left w:val="nil"/>
              <w:bottom w:val="single" w:sz="4" w:space="0" w:color="auto"/>
              <w:right w:val="nil"/>
            </w:tcBorders>
            <w:vAlign w:val="center"/>
          </w:tcPr>
          <w:p w14:paraId="35A3B782" w14:textId="77777777" w:rsidR="003B65DC" w:rsidRPr="002862F3" w:rsidRDefault="003B65DC" w:rsidP="008D226B">
            <w:pPr>
              <w:jc w:val="center"/>
              <w:rPr>
                <w:b/>
                <w:bCs/>
                <w:color w:val="000000"/>
                <w:sz w:val="18"/>
                <w:szCs w:val="18"/>
              </w:rPr>
            </w:pPr>
            <w:r w:rsidRPr="002862F3">
              <w:rPr>
                <w:b/>
                <w:bCs/>
                <w:color w:val="000000"/>
                <w:sz w:val="18"/>
                <w:szCs w:val="18"/>
              </w:rPr>
              <w:t>HR-CE 3</w:t>
            </w:r>
          </w:p>
          <w:p w14:paraId="64C3D00C" w14:textId="77777777" w:rsidR="003B65DC" w:rsidRPr="002862F3" w:rsidRDefault="003B65DC" w:rsidP="008D226B">
            <w:pPr>
              <w:jc w:val="center"/>
              <w:rPr>
                <w:b/>
                <w:bCs/>
                <w:color w:val="000000"/>
                <w:sz w:val="18"/>
                <w:szCs w:val="18"/>
              </w:rPr>
            </w:pPr>
            <w:proofErr w:type="spellStart"/>
            <w:r w:rsidRPr="002862F3">
              <w:rPr>
                <w:b/>
                <w:sz w:val="18"/>
                <w:szCs w:val="18"/>
              </w:rPr>
              <w:t>Mean±SD</w:t>
            </w:r>
            <w:proofErr w:type="spellEnd"/>
          </w:p>
        </w:tc>
        <w:tc>
          <w:tcPr>
            <w:tcW w:w="1035" w:type="dxa"/>
            <w:tcBorders>
              <w:top w:val="single" w:sz="4" w:space="0" w:color="auto"/>
              <w:left w:val="nil"/>
              <w:bottom w:val="single" w:sz="4" w:space="0" w:color="auto"/>
              <w:right w:val="nil"/>
            </w:tcBorders>
            <w:vAlign w:val="center"/>
          </w:tcPr>
          <w:p w14:paraId="471135E6" w14:textId="77777777" w:rsidR="003B65DC" w:rsidRPr="002862F3" w:rsidRDefault="003B65DC" w:rsidP="008D226B">
            <w:pPr>
              <w:jc w:val="center"/>
              <w:rPr>
                <w:b/>
                <w:bCs/>
                <w:color w:val="000000"/>
                <w:sz w:val="18"/>
                <w:szCs w:val="18"/>
              </w:rPr>
            </w:pPr>
            <w:r w:rsidRPr="002862F3">
              <w:rPr>
                <w:b/>
                <w:bCs/>
                <w:color w:val="000000"/>
                <w:sz w:val="18"/>
                <w:szCs w:val="18"/>
              </w:rPr>
              <w:t>HR-CE 4</w:t>
            </w:r>
          </w:p>
          <w:p w14:paraId="7A4D94B7" w14:textId="77777777" w:rsidR="003B65DC" w:rsidRPr="002862F3" w:rsidRDefault="003B65DC" w:rsidP="008D226B">
            <w:pPr>
              <w:jc w:val="center"/>
              <w:rPr>
                <w:b/>
                <w:bCs/>
                <w:color w:val="000000"/>
                <w:sz w:val="18"/>
                <w:szCs w:val="18"/>
              </w:rPr>
            </w:pPr>
            <w:proofErr w:type="spellStart"/>
            <w:r w:rsidRPr="002862F3">
              <w:rPr>
                <w:b/>
                <w:sz w:val="18"/>
                <w:szCs w:val="18"/>
              </w:rPr>
              <w:t>Mean±SD</w:t>
            </w:r>
            <w:proofErr w:type="spellEnd"/>
          </w:p>
        </w:tc>
        <w:tc>
          <w:tcPr>
            <w:tcW w:w="1035" w:type="dxa"/>
            <w:tcBorders>
              <w:top w:val="single" w:sz="4" w:space="0" w:color="auto"/>
              <w:left w:val="nil"/>
              <w:bottom w:val="single" w:sz="4" w:space="0" w:color="auto"/>
              <w:right w:val="nil"/>
            </w:tcBorders>
            <w:vAlign w:val="center"/>
          </w:tcPr>
          <w:p w14:paraId="0D4F1A5C" w14:textId="77777777" w:rsidR="003B65DC" w:rsidRPr="002862F3" w:rsidRDefault="003B65DC" w:rsidP="008D226B">
            <w:pPr>
              <w:jc w:val="center"/>
              <w:rPr>
                <w:b/>
                <w:bCs/>
                <w:color w:val="000000"/>
                <w:sz w:val="18"/>
                <w:szCs w:val="18"/>
              </w:rPr>
            </w:pPr>
            <w:r w:rsidRPr="002862F3">
              <w:rPr>
                <w:b/>
                <w:bCs/>
                <w:color w:val="000000"/>
                <w:sz w:val="18"/>
                <w:szCs w:val="18"/>
              </w:rPr>
              <w:t>HR-CE 5</w:t>
            </w:r>
          </w:p>
          <w:p w14:paraId="2EB2E1DD" w14:textId="77777777" w:rsidR="003B65DC" w:rsidRPr="002862F3" w:rsidRDefault="003B65DC" w:rsidP="008D226B">
            <w:pPr>
              <w:jc w:val="center"/>
              <w:rPr>
                <w:b/>
                <w:bCs/>
                <w:color w:val="000000"/>
                <w:sz w:val="18"/>
                <w:szCs w:val="18"/>
              </w:rPr>
            </w:pPr>
            <w:proofErr w:type="spellStart"/>
            <w:r w:rsidRPr="002862F3">
              <w:rPr>
                <w:b/>
                <w:sz w:val="18"/>
                <w:szCs w:val="18"/>
              </w:rPr>
              <w:t>Mean±SD</w:t>
            </w:r>
            <w:proofErr w:type="spellEnd"/>
          </w:p>
        </w:tc>
        <w:tc>
          <w:tcPr>
            <w:tcW w:w="1035" w:type="dxa"/>
            <w:tcBorders>
              <w:top w:val="single" w:sz="4" w:space="0" w:color="auto"/>
              <w:left w:val="nil"/>
              <w:bottom w:val="single" w:sz="4" w:space="0" w:color="auto"/>
              <w:right w:val="nil"/>
            </w:tcBorders>
            <w:vAlign w:val="center"/>
          </w:tcPr>
          <w:p w14:paraId="1F8F95BB" w14:textId="77777777" w:rsidR="003B65DC" w:rsidRPr="002862F3" w:rsidRDefault="003B65DC" w:rsidP="008D226B">
            <w:pPr>
              <w:jc w:val="center"/>
              <w:rPr>
                <w:b/>
                <w:bCs/>
                <w:color w:val="000000"/>
                <w:sz w:val="18"/>
                <w:szCs w:val="18"/>
              </w:rPr>
            </w:pPr>
            <w:r w:rsidRPr="002862F3">
              <w:rPr>
                <w:b/>
                <w:bCs/>
                <w:color w:val="000000"/>
                <w:sz w:val="18"/>
                <w:szCs w:val="18"/>
              </w:rPr>
              <w:t>HR-CE 6</w:t>
            </w:r>
          </w:p>
          <w:p w14:paraId="626FF47C" w14:textId="77777777" w:rsidR="003B65DC" w:rsidRPr="002862F3" w:rsidRDefault="003B65DC" w:rsidP="008D226B">
            <w:pPr>
              <w:jc w:val="center"/>
              <w:rPr>
                <w:b/>
                <w:bCs/>
                <w:color w:val="000000"/>
                <w:sz w:val="18"/>
                <w:szCs w:val="18"/>
              </w:rPr>
            </w:pPr>
            <w:proofErr w:type="spellStart"/>
            <w:r w:rsidRPr="002862F3">
              <w:rPr>
                <w:b/>
                <w:sz w:val="18"/>
                <w:szCs w:val="18"/>
              </w:rPr>
              <w:t>Mean±SD</w:t>
            </w:r>
            <w:proofErr w:type="spellEnd"/>
          </w:p>
        </w:tc>
      </w:tr>
      <w:tr w:rsidR="003B65DC" w:rsidRPr="002862F3" w14:paraId="3B0A35F7" w14:textId="77777777" w:rsidTr="008D226B">
        <w:trPr>
          <w:trHeight w:val="450"/>
        </w:trPr>
        <w:tc>
          <w:tcPr>
            <w:tcW w:w="616" w:type="dxa"/>
            <w:vMerge w:val="restart"/>
            <w:tcBorders>
              <w:top w:val="single" w:sz="4" w:space="0" w:color="auto"/>
              <w:left w:val="nil"/>
              <w:bottom w:val="nil"/>
              <w:right w:val="nil"/>
            </w:tcBorders>
            <w:noWrap/>
            <w:vAlign w:val="center"/>
          </w:tcPr>
          <w:p w14:paraId="1CF58045" w14:textId="77777777" w:rsidR="003B65DC" w:rsidRPr="002862F3" w:rsidRDefault="003B65DC" w:rsidP="008D226B">
            <w:pPr>
              <w:jc w:val="center"/>
              <w:rPr>
                <w:b/>
                <w:color w:val="000000"/>
                <w:sz w:val="18"/>
                <w:szCs w:val="18"/>
              </w:rPr>
            </w:pPr>
            <w:r w:rsidRPr="002862F3">
              <w:rPr>
                <w:b/>
                <w:color w:val="000000"/>
                <w:sz w:val="18"/>
                <w:szCs w:val="18"/>
              </w:rPr>
              <w:t>II</w:t>
            </w:r>
          </w:p>
        </w:tc>
        <w:tc>
          <w:tcPr>
            <w:tcW w:w="877" w:type="dxa"/>
            <w:tcBorders>
              <w:top w:val="single" w:sz="4" w:space="0" w:color="auto"/>
              <w:left w:val="nil"/>
              <w:bottom w:val="nil"/>
              <w:right w:val="nil"/>
            </w:tcBorders>
            <w:vAlign w:val="center"/>
          </w:tcPr>
          <w:p w14:paraId="11468E4B" w14:textId="77777777" w:rsidR="003B65DC" w:rsidRPr="002862F3" w:rsidRDefault="003B65DC" w:rsidP="008D226B">
            <w:pPr>
              <w:rPr>
                <w:b/>
                <w:color w:val="000000"/>
                <w:sz w:val="18"/>
                <w:szCs w:val="18"/>
              </w:rPr>
            </w:pPr>
            <w:r w:rsidRPr="002862F3">
              <w:rPr>
                <w:b/>
                <w:color w:val="000000"/>
                <w:sz w:val="18"/>
                <w:szCs w:val="18"/>
              </w:rPr>
              <w:t>Pre</w:t>
            </w:r>
          </w:p>
        </w:tc>
        <w:tc>
          <w:tcPr>
            <w:tcW w:w="1035" w:type="dxa"/>
            <w:tcBorders>
              <w:top w:val="single" w:sz="4" w:space="0" w:color="auto"/>
              <w:left w:val="nil"/>
              <w:bottom w:val="nil"/>
              <w:right w:val="nil"/>
            </w:tcBorders>
            <w:vAlign w:val="center"/>
          </w:tcPr>
          <w:p w14:paraId="5ACD81B3" w14:textId="77777777" w:rsidR="003B65DC" w:rsidRPr="002862F3" w:rsidRDefault="003B65DC" w:rsidP="008D226B">
            <w:pPr>
              <w:rPr>
                <w:color w:val="000000"/>
                <w:sz w:val="18"/>
                <w:szCs w:val="18"/>
              </w:rPr>
            </w:pPr>
            <w:r w:rsidRPr="002862F3">
              <w:rPr>
                <w:color w:val="000000"/>
                <w:sz w:val="18"/>
                <w:szCs w:val="18"/>
              </w:rPr>
              <w:t>122.0±10.9</w:t>
            </w:r>
          </w:p>
        </w:tc>
        <w:tc>
          <w:tcPr>
            <w:tcW w:w="1035" w:type="dxa"/>
            <w:tcBorders>
              <w:top w:val="single" w:sz="4" w:space="0" w:color="auto"/>
              <w:left w:val="nil"/>
              <w:bottom w:val="nil"/>
              <w:right w:val="nil"/>
            </w:tcBorders>
            <w:vAlign w:val="center"/>
          </w:tcPr>
          <w:p w14:paraId="18F5A18C" w14:textId="77777777" w:rsidR="003B65DC" w:rsidRPr="002862F3" w:rsidRDefault="003B65DC" w:rsidP="008D226B">
            <w:pPr>
              <w:rPr>
                <w:color w:val="000000"/>
                <w:sz w:val="18"/>
                <w:szCs w:val="18"/>
              </w:rPr>
            </w:pPr>
            <w:r w:rsidRPr="002862F3">
              <w:rPr>
                <w:color w:val="000000"/>
                <w:sz w:val="18"/>
                <w:szCs w:val="18"/>
              </w:rPr>
              <w:t>132.8±12.7</w:t>
            </w:r>
          </w:p>
        </w:tc>
        <w:tc>
          <w:tcPr>
            <w:tcW w:w="1035" w:type="dxa"/>
            <w:tcBorders>
              <w:top w:val="single" w:sz="4" w:space="0" w:color="auto"/>
              <w:left w:val="nil"/>
              <w:bottom w:val="nil"/>
              <w:right w:val="nil"/>
            </w:tcBorders>
            <w:vAlign w:val="center"/>
          </w:tcPr>
          <w:p w14:paraId="22433275" w14:textId="77777777" w:rsidR="003B65DC" w:rsidRPr="002862F3" w:rsidRDefault="003B65DC" w:rsidP="008D226B">
            <w:pPr>
              <w:rPr>
                <w:color w:val="000000"/>
                <w:sz w:val="18"/>
                <w:szCs w:val="18"/>
              </w:rPr>
            </w:pPr>
            <w:r w:rsidRPr="002862F3">
              <w:rPr>
                <w:color w:val="000000"/>
                <w:sz w:val="18"/>
                <w:szCs w:val="18"/>
              </w:rPr>
              <w:t>138.5±12.9</w:t>
            </w:r>
          </w:p>
        </w:tc>
        <w:tc>
          <w:tcPr>
            <w:tcW w:w="1035" w:type="dxa"/>
            <w:tcBorders>
              <w:top w:val="single" w:sz="4" w:space="0" w:color="auto"/>
              <w:left w:val="nil"/>
              <w:bottom w:val="nil"/>
              <w:right w:val="nil"/>
            </w:tcBorders>
            <w:vAlign w:val="center"/>
          </w:tcPr>
          <w:p w14:paraId="06F367A2" w14:textId="77777777" w:rsidR="003B65DC" w:rsidRPr="002862F3" w:rsidRDefault="003B65DC" w:rsidP="008D226B">
            <w:pPr>
              <w:rPr>
                <w:color w:val="000000"/>
                <w:sz w:val="18"/>
                <w:szCs w:val="18"/>
              </w:rPr>
            </w:pPr>
            <w:r w:rsidRPr="002862F3">
              <w:rPr>
                <w:color w:val="000000"/>
                <w:sz w:val="18"/>
                <w:szCs w:val="18"/>
              </w:rPr>
              <w:t>142.2±13.3</w:t>
            </w:r>
          </w:p>
        </w:tc>
        <w:tc>
          <w:tcPr>
            <w:tcW w:w="1035" w:type="dxa"/>
            <w:tcBorders>
              <w:top w:val="single" w:sz="4" w:space="0" w:color="auto"/>
              <w:left w:val="nil"/>
              <w:bottom w:val="nil"/>
              <w:right w:val="nil"/>
            </w:tcBorders>
            <w:vAlign w:val="center"/>
          </w:tcPr>
          <w:p w14:paraId="42DB5D03" w14:textId="77777777" w:rsidR="003B65DC" w:rsidRPr="002862F3" w:rsidRDefault="003B65DC" w:rsidP="008D226B">
            <w:pPr>
              <w:rPr>
                <w:color w:val="000000"/>
                <w:sz w:val="18"/>
                <w:szCs w:val="18"/>
              </w:rPr>
            </w:pPr>
            <w:r w:rsidRPr="002862F3">
              <w:rPr>
                <w:color w:val="000000"/>
                <w:sz w:val="18"/>
                <w:szCs w:val="18"/>
              </w:rPr>
              <w:t>147.0±11.9</w:t>
            </w:r>
          </w:p>
        </w:tc>
        <w:tc>
          <w:tcPr>
            <w:tcW w:w="1035" w:type="dxa"/>
            <w:tcBorders>
              <w:top w:val="single" w:sz="4" w:space="0" w:color="auto"/>
              <w:left w:val="nil"/>
              <w:bottom w:val="nil"/>
              <w:right w:val="nil"/>
            </w:tcBorders>
            <w:vAlign w:val="center"/>
          </w:tcPr>
          <w:p w14:paraId="748C078A" w14:textId="77777777" w:rsidR="003B65DC" w:rsidRPr="002862F3" w:rsidRDefault="003B65DC" w:rsidP="008D226B">
            <w:pPr>
              <w:rPr>
                <w:color w:val="000000"/>
                <w:sz w:val="18"/>
                <w:szCs w:val="18"/>
              </w:rPr>
            </w:pPr>
            <w:r w:rsidRPr="002862F3">
              <w:rPr>
                <w:color w:val="000000"/>
                <w:sz w:val="18"/>
                <w:szCs w:val="18"/>
              </w:rPr>
              <w:t>150.0±16.2</w:t>
            </w:r>
          </w:p>
        </w:tc>
      </w:tr>
      <w:tr w:rsidR="003B65DC" w:rsidRPr="002862F3" w14:paraId="14731DBE" w14:textId="77777777" w:rsidTr="008D226B">
        <w:trPr>
          <w:trHeight w:val="330"/>
        </w:trPr>
        <w:tc>
          <w:tcPr>
            <w:tcW w:w="616" w:type="dxa"/>
            <w:vMerge/>
            <w:tcBorders>
              <w:top w:val="nil"/>
              <w:left w:val="nil"/>
              <w:bottom w:val="nil"/>
              <w:right w:val="nil"/>
            </w:tcBorders>
            <w:vAlign w:val="center"/>
          </w:tcPr>
          <w:p w14:paraId="11C50FE3" w14:textId="77777777" w:rsidR="003B65DC" w:rsidRPr="002862F3" w:rsidRDefault="003B65DC" w:rsidP="008D226B">
            <w:pPr>
              <w:rPr>
                <w:color w:val="000000"/>
                <w:sz w:val="18"/>
                <w:szCs w:val="18"/>
              </w:rPr>
            </w:pPr>
          </w:p>
        </w:tc>
        <w:tc>
          <w:tcPr>
            <w:tcW w:w="877" w:type="dxa"/>
            <w:tcBorders>
              <w:top w:val="nil"/>
              <w:left w:val="nil"/>
              <w:bottom w:val="nil"/>
              <w:right w:val="nil"/>
            </w:tcBorders>
            <w:vAlign w:val="center"/>
          </w:tcPr>
          <w:p w14:paraId="4FFF320F" w14:textId="77777777" w:rsidR="003B65DC" w:rsidRPr="002862F3" w:rsidRDefault="003B65DC" w:rsidP="008D226B">
            <w:pPr>
              <w:rPr>
                <w:b/>
                <w:color w:val="000000"/>
                <w:sz w:val="18"/>
                <w:szCs w:val="18"/>
              </w:rPr>
            </w:pPr>
            <w:r w:rsidRPr="002862F3">
              <w:rPr>
                <w:b/>
                <w:color w:val="000000"/>
                <w:sz w:val="18"/>
                <w:szCs w:val="18"/>
              </w:rPr>
              <w:t>Post</w:t>
            </w:r>
          </w:p>
        </w:tc>
        <w:tc>
          <w:tcPr>
            <w:tcW w:w="1035" w:type="dxa"/>
            <w:tcBorders>
              <w:top w:val="nil"/>
              <w:left w:val="nil"/>
              <w:bottom w:val="nil"/>
              <w:right w:val="nil"/>
            </w:tcBorders>
            <w:vAlign w:val="center"/>
          </w:tcPr>
          <w:p w14:paraId="0C3044F1" w14:textId="77777777" w:rsidR="003B65DC" w:rsidRPr="002862F3" w:rsidRDefault="003B65DC" w:rsidP="008D226B">
            <w:pPr>
              <w:rPr>
                <w:color w:val="000000"/>
                <w:sz w:val="18"/>
                <w:szCs w:val="18"/>
              </w:rPr>
            </w:pPr>
            <w:r w:rsidRPr="002862F3">
              <w:rPr>
                <w:color w:val="000000"/>
                <w:sz w:val="18"/>
                <w:szCs w:val="18"/>
              </w:rPr>
              <w:t>109.1±14.5</w:t>
            </w:r>
          </w:p>
        </w:tc>
        <w:tc>
          <w:tcPr>
            <w:tcW w:w="1035" w:type="dxa"/>
            <w:tcBorders>
              <w:top w:val="nil"/>
              <w:left w:val="nil"/>
              <w:bottom w:val="nil"/>
              <w:right w:val="nil"/>
            </w:tcBorders>
            <w:vAlign w:val="center"/>
          </w:tcPr>
          <w:p w14:paraId="32D17CB6" w14:textId="77777777" w:rsidR="003B65DC" w:rsidRPr="002862F3" w:rsidRDefault="003B65DC" w:rsidP="008D226B">
            <w:pPr>
              <w:rPr>
                <w:color w:val="000000"/>
                <w:sz w:val="18"/>
                <w:szCs w:val="18"/>
              </w:rPr>
            </w:pPr>
            <w:r w:rsidRPr="002862F3">
              <w:rPr>
                <w:color w:val="000000"/>
                <w:sz w:val="18"/>
                <w:szCs w:val="18"/>
              </w:rPr>
              <w:t>119.3±14.9</w:t>
            </w:r>
          </w:p>
        </w:tc>
        <w:tc>
          <w:tcPr>
            <w:tcW w:w="1035" w:type="dxa"/>
            <w:tcBorders>
              <w:top w:val="nil"/>
              <w:left w:val="nil"/>
              <w:bottom w:val="nil"/>
              <w:right w:val="nil"/>
            </w:tcBorders>
            <w:vAlign w:val="center"/>
          </w:tcPr>
          <w:p w14:paraId="29AA1D92" w14:textId="77777777" w:rsidR="003B65DC" w:rsidRPr="002862F3" w:rsidRDefault="003B65DC" w:rsidP="008D226B">
            <w:pPr>
              <w:rPr>
                <w:color w:val="000000"/>
                <w:sz w:val="18"/>
                <w:szCs w:val="18"/>
              </w:rPr>
            </w:pPr>
            <w:r w:rsidRPr="002862F3">
              <w:rPr>
                <w:color w:val="000000"/>
                <w:sz w:val="18"/>
                <w:szCs w:val="18"/>
              </w:rPr>
              <w:t>126.7±14.7</w:t>
            </w:r>
          </w:p>
        </w:tc>
        <w:tc>
          <w:tcPr>
            <w:tcW w:w="1035" w:type="dxa"/>
            <w:tcBorders>
              <w:top w:val="nil"/>
              <w:left w:val="nil"/>
              <w:bottom w:val="nil"/>
              <w:right w:val="nil"/>
            </w:tcBorders>
            <w:vAlign w:val="center"/>
          </w:tcPr>
          <w:p w14:paraId="7E3D4081" w14:textId="77777777" w:rsidR="003B65DC" w:rsidRPr="002862F3" w:rsidRDefault="003B65DC" w:rsidP="008D226B">
            <w:pPr>
              <w:rPr>
                <w:color w:val="000000"/>
                <w:sz w:val="18"/>
                <w:szCs w:val="18"/>
              </w:rPr>
            </w:pPr>
            <w:r w:rsidRPr="002862F3">
              <w:rPr>
                <w:color w:val="000000"/>
                <w:sz w:val="18"/>
                <w:szCs w:val="18"/>
              </w:rPr>
              <w:t>132.0±14.3</w:t>
            </w:r>
          </w:p>
        </w:tc>
        <w:tc>
          <w:tcPr>
            <w:tcW w:w="1035" w:type="dxa"/>
            <w:tcBorders>
              <w:top w:val="nil"/>
              <w:left w:val="nil"/>
              <w:bottom w:val="nil"/>
              <w:right w:val="nil"/>
            </w:tcBorders>
            <w:vAlign w:val="center"/>
          </w:tcPr>
          <w:p w14:paraId="0EE0863C" w14:textId="77777777" w:rsidR="003B65DC" w:rsidRPr="002862F3" w:rsidRDefault="003B65DC" w:rsidP="008D226B">
            <w:pPr>
              <w:rPr>
                <w:color w:val="000000"/>
                <w:sz w:val="18"/>
                <w:szCs w:val="18"/>
              </w:rPr>
            </w:pPr>
            <w:r w:rsidRPr="002862F3">
              <w:rPr>
                <w:color w:val="000000"/>
                <w:sz w:val="18"/>
                <w:szCs w:val="18"/>
              </w:rPr>
              <w:t>136.8±12.9</w:t>
            </w:r>
          </w:p>
        </w:tc>
        <w:tc>
          <w:tcPr>
            <w:tcW w:w="1035" w:type="dxa"/>
            <w:tcBorders>
              <w:top w:val="nil"/>
              <w:left w:val="nil"/>
              <w:bottom w:val="nil"/>
              <w:right w:val="nil"/>
            </w:tcBorders>
            <w:vAlign w:val="center"/>
          </w:tcPr>
          <w:p w14:paraId="568A5887" w14:textId="77777777" w:rsidR="003B65DC" w:rsidRPr="002862F3" w:rsidRDefault="003B65DC" w:rsidP="008D226B">
            <w:pPr>
              <w:rPr>
                <w:color w:val="000000"/>
                <w:sz w:val="18"/>
                <w:szCs w:val="18"/>
              </w:rPr>
            </w:pPr>
            <w:r w:rsidRPr="002862F3">
              <w:rPr>
                <w:color w:val="000000"/>
                <w:sz w:val="18"/>
                <w:szCs w:val="18"/>
              </w:rPr>
              <w:t>141.7±15.5</w:t>
            </w:r>
          </w:p>
        </w:tc>
      </w:tr>
      <w:tr w:rsidR="003B65DC" w:rsidRPr="002862F3" w14:paraId="07568600" w14:textId="77777777" w:rsidTr="008D226B">
        <w:trPr>
          <w:trHeight w:val="300"/>
        </w:trPr>
        <w:tc>
          <w:tcPr>
            <w:tcW w:w="616" w:type="dxa"/>
            <w:vMerge/>
            <w:tcBorders>
              <w:top w:val="nil"/>
              <w:left w:val="nil"/>
              <w:bottom w:val="nil"/>
              <w:right w:val="nil"/>
            </w:tcBorders>
            <w:vAlign w:val="center"/>
          </w:tcPr>
          <w:p w14:paraId="1F48CEAD" w14:textId="77777777" w:rsidR="003B65DC" w:rsidRPr="002862F3" w:rsidRDefault="003B65DC" w:rsidP="008D226B">
            <w:pPr>
              <w:rPr>
                <w:color w:val="000000"/>
                <w:sz w:val="18"/>
                <w:szCs w:val="18"/>
              </w:rPr>
            </w:pPr>
          </w:p>
        </w:tc>
        <w:tc>
          <w:tcPr>
            <w:tcW w:w="877" w:type="dxa"/>
            <w:tcBorders>
              <w:top w:val="nil"/>
              <w:left w:val="nil"/>
              <w:bottom w:val="nil"/>
              <w:right w:val="nil"/>
            </w:tcBorders>
            <w:vAlign w:val="center"/>
          </w:tcPr>
          <w:p w14:paraId="472D95B8" w14:textId="77777777" w:rsidR="003B65DC" w:rsidRPr="002862F3" w:rsidRDefault="003B65DC" w:rsidP="008D226B">
            <w:pPr>
              <w:rPr>
                <w:b/>
                <w:color w:val="000000"/>
                <w:sz w:val="18"/>
                <w:szCs w:val="18"/>
              </w:rPr>
            </w:pPr>
            <w:r w:rsidRPr="002862F3">
              <w:rPr>
                <w:b/>
                <w:color w:val="000000"/>
                <w:sz w:val="18"/>
                <w:szCs w:val="18"/>
              </w:rPr>
              <w:t>Change</w:t>
            </w:r>
          </w:p>
        </w:tc>
        <w:tc>
          <w:tcPr>
            <w:tcW w:w="1035" w:type="dxa"/>
            <w:tcBorders>
              <w:top w:val="nil"/>
              <w:left w:val="nil"/>
              <w:bottom w:val="nil"/>
              <w:right w:val="nil"/>
            </w:tcBorders>
            <w:vAlign w:val="center"/>
          </w:tcPr>
          <w:p w14:paraId="3AD589A3" w14:textId="77777777" w:rsidR="003B65DC" w:rsidRPr="002862F3" w:rsidRDefault="003B65DC" w:rsidP="008D226B">
            <w:pPr>
              <w:rPr>
                <w:color w:val="000000"/>
                <w:sz w:val="18"/>
                <w:szCs w:val="18"/>
              </w:rPr>
            </w:pPr>
            <w:r w:rsidRPr="002862F3">
              <w:rPr>
                <w:color w:val="000000"/>
                <w:sz w:val="18"/>
                <w:szCs w:val="18"/>
              </w:rPr>
              <w:t>12.9±3.6</w:t>
            </w:r>
          </w:p>
        </w:tc>
        <w:tc>
          <w:tcPr>
            <w:tcW w:w="1035" w:type="dxa"/>
            <w:tcBorders>
              <w:top w:val="nil"/>
              <w:left w:val="nil"/>
              <w:bottom w:val="nil"/>
              <w:right w:val="nil"/>
            </w:tcBorders>
            <w:vAlign w:val="center"/>
          </w:tcPr>
          <w:p w14:paraId="2D0E0B3B" w14:textId="77777777" w:rsidR="003B65DC" w:rsidRPr="002862F3" w:rsidRDefault="003B65DC" w:rsidP="008D226B">
            <w:pPr>
              <w:rPr>
                <w:color w:val="000000"/>
                <w:sz w:val="18"/>
                <w:szCs w:val="18"/>
              </w:rPr>
            </w:pPr>
            <w:r w:rsidRPr="002862F3">
              <w:rPr>
                <w:color w:val="000000"/>
                <w:sz w:val="18"/>
                <w:szCs w:val="18"/>
              </w:rPr>
              <w:t>13.3±2.2</w:t>
            </w:r>
          </w:p>
        </w:tc>
        <w:tc>
          <w:tcPr>
            <w:tcW w:w="1035" w:type="dxa"/>
            <w:tcBorders>
              <w:top w:val="nil"/>
              <w:left w:val="nil"/>
              <w:bottom w:val="nil"/>
              <w:right w:val="nil"/>
            </w:tcBorders>
            <w:vAlign w:val="center"/>
          </w:tcPr>
          <w:p w14:paraId="0ED1A82F" w14:textId="77777777" w:rsidR="003B65DC" w:rsidRPr="002862F3" w:rsidRDefault="003B65DC" w:rsidP="008D226B">
            <w:pPr>
              <w:rPr>
                <w:color w:val="000000"/>
                <w:sz w:val="18"/>
                <w:szCs w:val="18"/>
              </w:rPr>
            </w:pPr>
            <w:r w:rsidRPr="002862F3">
              <w:rPr>
                <w:color w:val="000000"/>
                <w:sz w:val="18"/>
                <w:szCs w:val="18"/>
              </w:rPr>
              <w:t>11.8±1.1</w:t>
            </w:r>
          </w:p>
        </w:tc>
        <w:tc>
          <w:tcPr>
            <w:tcW w:w="1035" w:type="dxa"/>
            <w:tcBorders>
              <w:top w:val="nil"/>
              <w:left w:val="nil"/>
              <w:bottom w:val="nil"/>
              <w:right w:val="nil"/>
            </w:tcBorders>
            <w:vAlign w:val="center"/>
          </w:tcPr>
          <w:p w14:paraId="1C2DCD12" w14:textId="77777777" w:rsidR="003B65DC" w:rsidRPr="002862F3" w:rsidRDefault="003B65DC" w:rsidP="008D226B">
            <w:pPr>
              <w:rPr>
                <w:color w:val="000000"/>
                <w:sz w:val="18"/>
                <w:szCs w:val="18"/>
              </w:rPr>
            </w:pPr>
            <w:r w:rsidRPr="002862F3">
              <w:rPr>
                <w:color w:val="000000"/>
                <w:sz w:val="18"/>
                <w:szCs w:val="18"/>
              </w:rPr>
              <w:t>10.2±1.0</w:t>
            </w:r>
          </w:p>
        </w:tc>
        <w:tc>
          <w:tcPr>
            <w:tcW w:w="1035" w:type="dxa"/>
            <w:tcBorders>
              <w:top w:val="nil"/>
              <w:left w:val="nil"/>
              <w:bottom w:val="nil"/>
              <w:right w:val="nil"/>
            </w:tcBorders>
            <w:vAlign w:val="center"/>
          </w:tcPr>
          <w:p w14:paraId="2420F5A5" w14:textId="77777777" w:rsidR="003B65DC" w:rsidRPr="002862F3" w:rsidRDefault="003B65DC" w:rsidP="008D226B">
            <w:pPr>
              <w:rPr>
                <w:color w:val="000000"/>
                <w:sz w:val="18"/>
                <w:szCs w:val="18"/>
              </w:rPr>
            </w:pPr>
            <w:r w:rsidRPr="002862F3">
              <w:rPr>
                <w:color w:val="000000"/>
                <w:sz w:val="18"/>
                <w:szCs w:val="18"/>
              </w:rPr>
              <w:t>10.2±1.0</w:t>
            </w:r>
          </w:p>
        </w:tc>
        <w:tc>
          <w:tcPr>
            <w:tcW w:w="1035" w:type="dxa"/>
            <w:tcBorders>
              <w:top w:val="nil"/>
              <w:left w:val="nil"/>
              <w:bottom w:val="nil"/>
              <w:right w:val="nil"/>
            </w:tcBorders>
            <w:vAlign w:val="center"/>
          </w:tcPr>
          <w:p w14:paraId="1F7C8712" w14:textId="77777777" w:rsidR="003B65DC" w:rsidRPr="002862F3" w:rsidRDefault="003B65DC" w:rsidP="008D226B">
            <w:pPr>
              <w:rPr>
                <w:color w:val="000000"/>
                <w:sz w:val="18"/>
                <w:szCs w:val="18"/>
              </w:rPr>
            </w:pPr>
            <w:r w:rsidRPr="002862F3">
              <w:rPr>
                <w:color w:val="000000"/>
                <w:sz w:val="18"/>
                <w:szCs w:val="18"/>
              </w:rPr>
              <w:t>8.3±0.7</w:t>
            </w:r>
          </w:p>
        </w:tc>
      </w:tr>
      <w:tr w:rsidR="003B65DC" w:rsidRPr="002862F3" w14:paraId="57A2601D" w14:textId="77777777" w:rsidTr="008D226B">
        <w:trPr>
          <w:trHeight w:val="300"/>
        </w:trPr>
        <w:tc>
          <w:tcPr>
            <w:tcW w:w="616" w:type="dxa"/>
            <w:vMerge/>
            <w:tcBorders>
              <w:top w:val="nil"/>
              <w:left w:val="nil"/>
              <w:bottom w:val="single" w:sz="4" w:space="0" w:color="auto"/>
              <w:right w:val="nil"/>
            </w:tcBorders>
            <w:vAlign w:val="center"/>
          </w:tcPr>
          <w:p w14:paraId="1D5F53EB" w14:textId="77777777" w:rsidR="003B65DC" w:rsidRPr="002862F3" w:rsidRDefault="003B65DC" w:rsidP="008D226B">
            <w:pPr>
              <w:rPr>
                <w:color w:val="000000"/>
                <w:sz w:val="18"/>
                <w:szCs w:val="18"/>
              </w:rPr>
            </w:pPr>
          </w:p>
        </w:tc>
        <w:tc>
          <w:tcPr>
            <w:tcW w:w="877" w:type="dxa"/>
            <w:tcBorders>
              <w:top w:val="nil"/>
              <w:left w:val="nil"/>
              <w:bottom w:val="single" w:sz="4" w:space="0" w:color="auto"/>
              <w:right w:val="nil"/>
            </w:tcBorders>
            <w:vAlign w:val="center"/>
          </w:tcPr>
          <w:p w14:paraId="6D230E66" w14:textId="77777777" w:rsidR="003B65DC" w:rsidRPr="002862F3" w:rsidRDefault="003B65DC" w:rsidP="008D226B">
            <w:pPr>
              <w:rPr>
                <w:b/>
                <w:color w:val="000000"/>
                <w:sz w:val="18"/>
                <w:szCs w:val="18"/>
              </w:rPr>
            </w:pPr>
            <w:r w:rsidRPr="002862F3">
              <w:rPr>
                <w:b/>
                <w:color w:val="000000"/>
                <w:sz w:val="18"/>
                <w:szCs w:val="18"/>
              </w:rPr>
              <w:t>P*</w:t>
            </w:r>
          </w:p>
        </w:tc>
        <w:tc>
          <w:tcPr>
            <w:tcW w:w="1035" w:type="dxa"/>
            <w:tcBorders>
              <w:top w:val="nil"/>
              <w:left w:val="nil"/>
              <w:bottom w:val="single" w:sz="4" w:space="0" w:color="auto"/>
              <w:right w:val="nil"/>
            </w:tcBorders>
            <w:vAlign w:val="center"/>
          </w:tcPr>
          <w:p w14:paraId="74EC4973" w14:textId="77777777" w:rsidR="003B65DC" w:rsidRPr="002862F3" w:rsidRDefault="003B65DC" w:rsidP="008D226B">
            <w:pPr>
              <w:rPr>
                <w:color w:val="000000"/>
                <w:sz w:val="18"/>
                <w:szCs w:val="18"/>
              </w:rPr>
            </w:pPr>
            <w:r w:rsidRPr="002862F3">
              <w:rPr>
                <w:color w:val="000000"/>
                <w:sz w:val="18"/>
                <w:szCs w:val="18"/>
              </w:rPr>
              <w:t>&lt; 0.001</w:t>
            </w:r>
          </w:p>
        </w:tc>
        <w:tc>
          <w:tcPr>
            <w:tcW w:w="1035" w:type="dxa"/>
            <w:tcBorders>
              <w:top w:val="nil"/>
              <w:left w:val="nil"/>
              <w:bottom w:val="single" w:sz="4" w:space="0" w:color="auto"/>
              <w:right w:val="nil"/>
            </w:tcBorders>
            <w:vAlign w:val="center"/>
          </w:tcPr>
          <w:p w14:paraId="27CABE49" w14:textId="77777777" w:rsidR="003B65DC" w:rsidRPr="002862F3" w:rsidRDefault="003B65DC" w:rsidP="008D226B">
            <w:pPr>
              <w:rPr>
                <w:color w:val="000000"/>
                <w:sz w:val="18"/>
                <w:szCs w:val="18"/>
              </w:rPr>
            </w:pPr>
            <w:r w:rsidRPr="002862F3">
              <w:rPr>
                <w:color w:val="000000"/>
                <w:sz w:val="18"/>
                <w:szCs w:val="18"/>
              </w:rPr>
              <w:t>&lt; 0.001</w:t>
            </w:r>
          </w:p>
        </w:tc>
        <w:tc>
          <w:tcPr>
            <w:tcW w:w="1035" w:type="dxa"/>
            <w:tcBorders>
              <w:top w:val="nil"/>
              <w:left w:val="nil"/>
              <w:bottom w:val="single" w:sz="4" w:space="0" w:color="auto"/>
              <w:right w:val="nil"/>
            </w:tcBorders>
            <w:vAlign w:val="center"/>
          </w:tcPr>
          <w:p w14:paraId="27F2B396" w14:textId="77777777" w:rsidR="003B65DC" w:rsidRPr="002862F3" w:rsidRDefault="003B65DC" w:rsidP="008D226B">
            <w:pPr>
              <w:rPr>
                <w:color w:val="000000"/>
                <w:sz w:val="18"/>
                <w:szCs w:val="18"/>
              </w:rPr>
            </w:pPr>
            <w:r w:rsidRPr="002862F3">
              <w:rPr>
                <w:color w:val="000000"/>
                <w:sz w:val="18"/>
                <w:szCs w:val="18"/>
              </w:rPr>
              <w:t>&lt; 0.001</w:t>
            </w:r>
          </w:p>
        </w:tc>
        <w:tc>
          <w:tcPr>
            <w:tcW w:w="1035" w:type="dxa"/>
            <w:tcBorders>
              <w:top w:val="nil"/>
              <w:left w:val="nil"/>
              <w:bottom w:val="single" w:sz="4" w:space="0" w:color="auto"/>
              <w:right w:val="nil"/>
            </w:tcBorders>
            <w:vAlign w:val="center"/>
          </w:tcPr>
          <w:p w14:paraId="24E05CC2" w14:textId="77777777" w:rsidR="003B65DC" w:rsidRPr="002862F3" w:rsidRDefault="003B65DC" w:rsidP="008D226B">
            <w:pPr>
              <w:rPr>
                <w:color w:val="000000"/>
                <w:sz w:val="18"/>
                <w:szCs w:val="18"/>
              </w:rPr>
            </w:pPr>
            <w:r w:rsidRPr="002862F3">
              <w:rPr>
                <w:color w:val="000000"/>
                <w:sz w:val="18"/>
                <w:szCs w:val="18"/>
              </w:rPr>
              <w:t>&lt; 0.001</w:t>
            </w:r>
          </w:p>
        </w:tc>
        <w:tc>
          <w:tcPr>
            <w:tcW w:w="1035" w:type="dxa"/>
            <w:tcBorders>
              <w:top w:val="nil"/>
              <w:left w:val="nil"/>
              <w:bottom w:val="single" w:sz="4" w:space="0" w:color="auto"/>
              <w:right w:val="nil"/>
            </w:tcBorders>
            <w:vAlign w:val="center"/>
          </w:tcPr>
          <w:p w14:paraId="4E533B18" w14:textId="77777777" w:rsidR="003B65DC" w:rsidRPr="002862F3" w:rsidRDefault="003B65DC" w:rsidP="008D226B">
            <w:pPr>
              <w:rPr>
                <w:color w:val="000000"/>
                <w:sz w:val="18"/>
                <w:szCs w:val="18"/>
              </w:rPr>
            </w:pPr>
            <w:r w:rsidRPr="002862F3">
              <w:rPr>
                <w:color w:val="000000"/>
                <w:sz w:val="18"/>
                <w:szCs w:val="18"/>
              </w:rPr>
              <w:t>&lt; 0.001</w:t>
            </w:r>
          </w:p>
        </w:tc>
        <w:tc>
          <w:tcPr>
            <w:tcW w:w="1035" w:type="dxa"/>
            <w:tcBorders>
              <w:top w:val="nil"/>
              <w:left w:val="nil"/>
              <w:bottom w:val="single" w:sz="4" w:space="0" w:color="auto"/>
              <w:right w:val="nil"/>
            </w:tcBorders>
            <w:vAlign w:val="center"/>
          </w:tcPr>
          <w:p w14:paraId="6A0EDF88" w14:textId="77777777" w:rsidR="003B65DC" w:rsidRPr="002862F3" w:rsidRDefault="003B65DC" w:rsidP="008D226B">
            <w:pPr>
              <w:rPr>
                <w:color w:val="000000"/>
                <w:sz w:val="18"/>
                <w:szCs w:val="18"/>
              </w:rPr>
            </w:pPr>
            <w:r w:rsidRPr="002862F3">
              <w:rPr>
                <w:color w:val="000000"/>
                <w:sz w:val="18"/>
                <w:szCs w:val="18"/>
              </w:rPr>
              <w:t>&lt; 0.001</w:t>
            </w:r>
          </w:p>
        </w:tc>
      </w:tr>
      <w:tr w:rsidR="003B65DC" w:rsidRPr="002862F3" w14:paraId="7A77A8AC" w14:textId="77777777" w:rsidTr="008D226B">
        <w:trPr>
          <w:trHeight w:val="360"/>
        </w:trPr>
        <w:tc>
          <w:tcPr>
            <w:tcW w:w="616" w:type="dxa"/>
            <w:vMerge w:val="restart"/>
            <w:tcBorders>
              <w:top w:val="single" w:sz="4" w:space="0" w:color="auto"/>
              <w:left w:val="nil"/>
              <w:bottom w:val="nil"/>
              <w:right w:val="nil"/>
            </w:tcBorders>
            <w:noWrap/>
            <w:hideMark/>
          </w:tcPr>
          <w:p w14:paraId="0B4E0E1B" w14:textId="77777777" w:rsidR="003B65DC" w:rsidRPr="002862F3" w:rsidRDefault="003B65DC" w:rsidP="008D226B">
            <w:pPr>
              <w:jc w:val="center"/>
              <w:rPr>
                <w:color w:val="000000"/>
                <w:sz w:val="18"/>
                <w:szCs w:val="18"/>
              </w:rPr>
            </w:pPr>
          </w:p>
          <w:p w14:paraId="4C7FE5EB" w14:textId="77777777" w:rsidR="003B65DC" w:rsidRPr="002862F3" w:rsidRDefault="003B65DC" w:rsidP="008D226B">
            <w:pPr>
              <w:jc w:val="center"/>
              <w:rPr>
                <w:color w:val="000000"/>
                <w:sz w:val="18"/>
                <w:szCs w:val="18"/>
              </w:rPr>
            </w:pPr>
          </w:p>
          <w:p w14:paraId="61A4467B" w14:textId="77777777" w:rsidR="003B65DC" w:rsidRPr="002862F3" w:rsidRDefault="003B65DC" w:rsidP="008D226B">
            <w:pPr>
              <w:jc w:val="center"/>
              <w:rPr>
                <w:b/>
                <w:color w:val="000000"/>
                <w:sz w:val="18"/>
                <w:szCs w:val="18"/>
              </w:rPr>
            </w:pPr>
            <w:proofErr w:type="gramStart"/>
            <w:r w:rsidRPr="002862F3">
              <w:rPr>
                <w:b/>
                <w:color w:val="000000"/>
                <w:sz w:val="18"/>
                <w:szCs w:val="18"/>
              </w:rPr>
              <w:t>NON II</w:t>
            </w:r>
            <w:proofErr w:type="gramEnd"/>
          </w:p>
        </w:tc>
        <w:tc>
          <w:tcPr>
            <w:tcW w:w="877" w:type="dxa"/>
            <w:tcBorders>
              <w:top w:val="single" w:sz="4" w:space="0" w:color="auto"/>
              <w:left w:val="nil"/>
              <w:bottom w:val="nil"/>
              <w:right w:val="nil"/>
            </w:tcBorders>
            <w:vAlign w:val="center"/>
            <w:hideMark/>
          </w:tcPr>
          <w:p w14:paraId="7630BBEA" w14:textId="77777777" w:rsidR="003B65DC" w:rsidRPr="002862F3" w:rsidRDefault="003B65DC" w:rsidP="008D226B">
            <w:pPr>
              <w:rPr>
                <w:b/>
                <w:color w:val="000000"/>
                <w:sz w:val="18"/>
                <w:szCs w:val="18"/>
              </w:rPr>
            </w:pPr>
            <w:r w:rsidRPr="002862F3">
              <w:rPr>
                <w:b/>
                <w:color w:val="000000"/>
                <w:sz w:val="18"/>
                <w:szCs w:val="18"/>
              </w:rPr>
              <w:t>Pre</w:t>
            </w:r>
          </w:p>
        </w:tc>
        <w:tc>
          <w:tcPr>
            <w:tcW w:w="1035" w:type="dxa"/>
            <w:tcBorders>
              <w:top w:val="single" w:sz="4" w:space="0" w:color="auto"/>
              <w:left w:val="nil"/>
              <w:bottom w:val="nil"/>
              <w:right w:val="nil"/>
            </w:tcBorders>
            <w:vAlign w:val="center"/>
          </w:tcPr>
          <w:p w14:paraId="46A5FB0A" w14:textId="77777777" w:rsidR="003B65DC" w:rsidRPr="002862F3" w:rsidRDefault="003B65DC" w:rsidP="008D226B">
            <w:pPr>
              <w:rPr>
                <w:color w:val="000000"/>
                <w:sz w:val="18"/>
                <w:szCs w:val="18"/>
              </w:rPr>
            </w:pPr>
            <w:r w:rsidRPr="002862F3">
              <w:rPr>
                <w:color w:val="000000"/>
                <w:sz w:val="18"/>
                <w:szCs w:val="18"/>
              </w:rPr>
              <w:t>124.0±12.8</w:t>
            </w:r>
          </w:p>
        </w:tc>
        <w:tc>
          <w:tcPr>
            <w:tcW w:w="1035" w:type="dxa"/>
            <w:tcBorders>
              <w:top w:val="single" w:sz="4" w:space="0" w:color="auto"/>
              <w:left w:val="nil"/>
              <w:bottom w:val="nil"/>
              <w:right w:val="nil"/>
            </w:tcBorders>
            <w:vAlign w:val="center"/>
          </w:tcPr>
          <w:p w14:paraId="689C925C" w14:textId="77777777" w:rsidR="003B65DC" w:rsidRPr="002862F3" w:rsidRDefault="003B65DC" w:rsidP="008D226B">
            <w:pPr>
              <w:rPr>
                <w:color w:val="000000"/>
                <w:sz w:val="18"/>
                <w:szCs w:val="18"/>
              </w:rPr>
            </w:pPr>
            <w:r w:rsidRPr="002862F3">
              <w:rPr>
                <w:color w:val="000000"/>
                <w:sz w:val="18"/>
                <w:szCs w:val="18"/>
              </w:rPr>
              <w:t>132.0±13.8</w:t>
            </w:r>
          </w:p>
        </w:tc>
        <w:tc>
          <w:tcPr>
            <w:tcW w:w="1035" w:type="dxa"/>
            <w:tcBorders>
              <w:top w:val="single" w:sz="4" w:space="0" w:color="auto"/>
              <w:left w:val="nil"/>
              <w:bottom w:val="nil"/>
              <w:right w:val="nil"/>
            </w:tcBorders>
            <w:vAlign w:val="center"/>
          </w:tcPr>
          <w:p w14:paraId="59A7CA8E" w14:textId="77777777" w:rsidR="003B65DC" w:rsidRPr="002862F3" w:rsidRDefault="003B65DC" w:rsidP="008D226B">
            <w:pPr>
              <w:rPr>
                <w:color w:val="000000"/>
                <w:sz w:val="18"/>
                <w:szCs w:val="18"/>
              </w:rPr>
            </w:pPr>
            <w:r w:rsidRPr="002862F3">
              <w:rPr>
                <w:color w:val="000000"/>
                <w:sz w:val="18"/>
                <w:szCs w:val="18"/>
              </w:rPr>
              <w:t>138.8±13.9</w:t>
            </w:r>
          </w:p>
        </w:tc>
        <w:tc>
          <w:tcPr>
            <w:tcW w:w="1035" w:type="dxa"/>
            <w:tcBorders>
              <w:top w:val="single" w:sz="4" w:space="0" w:color="auto"/>
              <w:left w:val="nil"/>
              <w:bottom w:val="nil"/>
              <w:right w:val="nil"/>
            </w:tcBorders>
            <w:vAlign w:val="center"/>
          </w:tcPr>
          <w:p w14:paraId="1512A273" w14:textId="77777777" w:rsidR="003B65DC" w:rsidRPr="002862F3" w:rsidRDefault="003B65DC" w:rsidP="008D226B">
            <w:pPr>
              <w:rPr>
                <w:color w:val="000000"/>
                <w:sz w:val="18"/>
                <w:szCs w:val="18"/>
              </w:rPr>
            </w:pPr>
            <w:r w:rsidRPr="002862F3">
              <w:rPr>
                <w:color w:val="000000"/>
                <w:sz w:val="18"/>
                <w:szCs w:val="18"/>
              </w:rPr>
              <w:t>144.0±14.1</w:t>
            </w:r>
          </w:p>
        </w:tc>
        <w:tc>
          <w:tcPr>
            <w:tcW w:w="1035" w:type="dxa"/>
            <w:tcBorders>
              <w:top w:val="single" w:sz="4" w:space="0" w:color="auto"/>
              <w:left w:val="nil"/>
              <w:bottom w:val="nil"/>
              <w:right w:val="nil"/>
            </w:tcBorders>
            <w:vAlign w:val="center"/>
          </w:tcPr>
          <w:p w14:paraId="06EEC8BB" w14:textId="77777777" w:rsidR="003B65DC" w:rsidRPr="002862F3" w:rsidRDefault="003B65DC" w:rsidP="008D226B">
            <w:pPr>
              <w:rPr>
                <w:color w:val="000000"/>
                <w:sz w:val="18"/>
                <w:szCs w:val="18"/>
              </w:rPr>
            </w:pPr>
            <w:r w:rsidRPr="002862F3">
              <w:rPr>
                <w:color w:val="000000"/>
                <w:sz w:val="18"/>
                <w:szCs w:val="18"/>
              </w:rPr>
              <w:t>150.1±12.9</w:t>
            </w:r>
          </w:p>
        </w:tc>
        <w:tc>
          <w:tcPr>
            <w:tcW w:w="1035" w:type="dxa"/>
            <w:tcBorders>
              <w:top w:val="single" w:sz="4" w:space="0" w:color="auto"/>
              <w:left w:val="nil"/>
              <w:bottom w:val="nil"/>
              <w:right w:val="nil"/>
            </w:tcBorders>
            <w:vAlign w:val="center"/>
          </w:tcPr>
          <w:p w14:paraId="11977532" w14:textId="77777777" w:rsidR="003B65DC" w:rsidRPr="002862F3" w:rsidRDefault="003B65DC" w:rsidP="008D226B">
            <w:pPr>
              <w:rPr>
                <w:color w:val="000000"/>
                <w:sz w:val="18"/>
                <w:szCs w:val="18"/>
              </w:rPr>
            </w:pPr>
            <w:r w:rsidRPr="002862F3">
              <w:rPr>
                <w:color w:val="000000"/>
                <w:sz w:val="18"/>
                <w:szCs w:val="18"/>
              </w:rPr>
              <w:t>155.5±11.8</w:t>
            </w:r>
          </w:p>
        </w:tc>
      </w:tr>
      <w:tr w:rsidR="003B65DC" w:rsidRPr="002862F3" w14:paraId="693017AF" w14:textId="77777777" w:rsidTr="008D226B">
        <w:trPr>
          <w:trHeight w:val="330"/>
        </w:trPr>
        <w:tc>
          <w:tcPr>
            <w:tcW w:w="616" w:type="dxa"/>
            <w:vMerge/>
            <w:tcBorders>
              <w:top w:val="nil"/>
              <w:left w:val="nil"/>
              <w:bottom w:val="nil"/>
              <w:right w:val="nil"/>
            </w:tcBorders>
            <w:vAlign w:val="center"/>
            <w:hideMark/>
          </w:tcPr>
          <w:p w14:paraId="5B8EC073" w14:textId="77777777" w:rsidR="003B65DC" w:rsidRPr="002862F3" w:rsidRDefault="003B65DC" w:rsidP="008D226B">
            <w:pPr>
              <w:rPr>
                <w:color w:val="000000"/>
                <w:sz w:val="18"/>
                <w:szCs w:val="18"/>
              </w:rPr>
            </w:pPr>
          </w:p>
        </w:tc>
        <w:tc>
          <w:tcPr>
            <w:tcW w:w="877" w:type="dxa"/>
            <w:tcBorders>
              <w:top w:val="nil"/>
              <w:left w:val="nil"/>
              <w:bottom w:val="nil"/>
              <w:right w:val="nil"/>
            </w:tcBorders>
            <w:vAlign w:val="center"/>
            <w:hideMark/>
          </w:tcPr>
          <w:p w14:paraId="0E79E042" w14:textId="77777777" w:rsidR="003B65DC" w:rsidRPr="002862F3" w:rsidRDefault="003B65DC" w:rsidP="008D226B">
            <w:pPr>
              <w:rPr>
                <w:b/>
                <w:color w:val="000000"/>
                <w:sz w:val="18"/>
                <w:szCs w:val="18"/>
              </w:rPr>
            </w:pPr>
            <w:r w:rsidRPr="002862F3">
              <w:rPr>
                <w:b/>
                <w:color w:val="000000"/>
                <w:sz w:val="18"/>
                <w:szCs w:val="18"/>
              </w:rPr>
              <w:t>Post</w:t>
            </w:r>
          </w:p>
        </w:tc>
        <w:tc>
          <w:tcPr>
            <w:tcW w:w="1035" w:type="dxa"/>
            <w:tcBorders>
              <w:top w:val="nil"/>
              <w:left w:val="nil"/>
              <w:bottom w:val="nil"/>
              <w:right w:val="nil"/>
            </w:tcBorders>
            <w:vAlign w:val="center"/>
          </w:tcPr>
          <w:p w14:paraId="749D0DB4" w14:textId="77777777" w:rsidR="003B65DC" w:rsidRPr="002862F3" w:rsidRDefault="003B65DC" w:rsidP="008D226B">
            <w:pPr>
              <w:rPr>
                <w:color w:val="000000"/>
                <w:sz w:val="18"/>
                <w:szCs w:val="18"/>
              </w:rPr>
            </w:pPr>
            <w:r w:rsidRPr="002862F3">
              <w:rPr>
                <w:color w:val="000000"/>
                <w:sz w:val="18"/>
                <w:szCs w:val="18"/>
              </w:rPr>
              <w:t>112.4±13.7</w:t>
            </w:r>
          </w:p>
        </w:tc>
        <w:tc>
          <w:tcPr>
            <w:tcW w:w="1035" w:type="dxa"/>
            <w:tcBorders>
              <w:top w:val="nil"/>
              <w:left w:val="nil"/>
              <w:bottom w:val="nil"/>
              <w:right w:val="nil"/>
            </w:tcBorders>
            <w:vAlign w:val="center"/>
          </w:tcPr>
          <w:p w14:paraId="4823A867" w14:textId="77777777" w:rsidR="003B65DC" w:rsidRPr="002862F3" w:rsidRDefault="003B65DC" w:rsidP="008D226B">
            <w:pPr>
              <w:rPr>
                <w:color w:val="000000"/>
                <w:sz w:val="18"/>
                <w:szCs w:val="18"/>
              </w:rPr>
            </w:pPr>
            <w:r w:rsidRPr="002862F3">
              <w:rPr>
                <w:color w:val="000000"/>
                <w:sz w:val="18"/>
                <w:szCs w:val="18"/>
              </w:rPr>
              <w:t>120.9±13.6</w:t>
            </w:r>
          </w:p>
        </w:tc>
        <w:tc>
          <w:tcPr>
            <w:tcW w:w="1035" w:type="dxa"/>
            <w:tcBorders>
              <w:top w:val="nil"/>
              <w:left w:val="nil"/>
              <w:bottom w:val="nil"/>
              <w:right w:val="nil"/>
            </w:tcBorders>
            <w:vAlign w:val="center"/>
          </w:tcPr>
          <w:p w14:paraId="1B00548E" w14:textId="77777777" w:rsidR="003B65DC" w:rsidRPr="002862F3" w:rsidRDefault="003B65DC" w:rsidP="008D226B">
            <w:pPr>
              <w:rPr>
                <w:color w:val="000000"/>
                <w:sz w:val="18"/>
                <w:szCs w:val="18"/>
              </w:rPr>
            </w:pPr>
            <w:r w:rsidRPr="002862F3">
              <w:rPr>
                <w:color w:val="000000"/>
                <w:sz w:val="18"/>
                <w:szCs w:val="18"/>
              </w:rPr>
              <w:t>128.5±12.9</w:t>
            </w:r>
          </w:p>
        </w:tc>
        <w:tc>
          <w:tcPr>
            <w:tcW w:w="1035" w:type="dxa"/>
            <w:tcBorders>
              <w:top w:val="nil"/>
              <w:left w:val="nil"/>
              <w:bottom w:val="nil"/>
              <w:right w:val="nil"/>
            </w:tcBorders>
            <w:vAlign w:val="center"/>
          </w:tcPr>
          <w:p w14:paraId="76B89CF4" w14:textId="77777777" w:rsidR="003B65DC" w:rsidRPr="002862F3" w:rsidRDefault="003B65DC" w:rsidP="008D226B">
            <w:pPr>
              <w:rPr>
                <w:color w:val="000000"/>
                <w:sz w:val="18"/>
                <w:szCs w:val="18"/>
              </w:rPr>
            </w:pPr>
            <w:r w:rsidRPr="002862F3">
              <w:rPr>
                <w:color w:val="000000"/>
                <w:sz w:val="18"/>
                <w:szCs w:val="18"/>
              </w:rPr>
              <w:t>133.9±12.7</w:t>
            </w:r>
          </w:p>
        </w:tc>
        <w:tc>
          <w:tcPr>
            <w:tcW w:w="1035" w:type="dxa"/>
            <w:tcBorders>
              <w:top w:val="nil"/>
              <w:left w:val="nil"/>
              <w:bottom w:val="nil"/>
              <w:right w:val="nil"/>
            </w:tcBorders>
            <w:vAlign w:val="center"/>
          </w:tcPr>
          <w:p w14:paraId="236A46E3" w14:textId="77777777" w:rsidR="003B65DC" w:rsidRPr="002862F3" w:rsidRDefault="003B65DC" w:rsidP="008D226B">
            <w:pPr>
              <w:rPr>
                <w:color w:val="000000"/>
                <w:sz w:val="18"/>
                <w:szCs w:val="18"/>
              </w:rPr>
            </w:pPr>
            <w:r w:rsidRPr="002862F3">
              <w:rPr>
                <w:color w:val="000000"/>
                <w:sz w:val="18"/>
                <w:szCs w:val="18"/>
              </w:rPr>
              <w:t>140.9±11.6</w:t>
            </w:r>
          </w:p>
        </w:tc>
        <w:tc>
          <w:tcPr>
            <w:tcW w:w="1035" w:type="dxa"/>
            <w:tcBorders>
              <w:top w:val="nil"/>
              <w:left w:val="nil"/>
              <w:bottom w:val="nil"/>
              <w:right w:val="nil"/>
            </w:tcBorders>
            <w:vAlign w:val="center"/>
          </w:tcPr>
          <w:p w14:paraId="3F2E2AE3" w14:textId="77777777" w:rsidR="003B65DC" w:rsidRPr="002862F3" w:rsidRDefault="003B65DC" w:rsidP="008D226B">
            <w:pPr>
              <w:rPr>
                <w:color w:val="000000"/>
                <w:sz w:val="18"/>
                <w:szCs w:val="18"/>
              </w:rPr>
            </w:pPr>
            <w:r w:rsidRPr="002862F3">
              <w:rPr>
                <w:color w:val="000000"/>
                <w:sz w:val="18"/>
                <w:szCs w:val="18"/>
              </w:rPr>
              <w:t>147.3±10.1</w:t>
            </w:r>
          </w:p>
        </w:tc>
      </w:tr>
      <w:tr w:rsidR="003B65DC" w:rsidRPr="002862F3" w14:paraId="74131065" w14:textId="77777777" w:rsidTr="008D226B">
        <w:trPr>
          <w:trHeight w:val="450"/>
        </w:trPr>
        <w:tc>
          <w:tcPr>
            <w:tcW w:w="616" w:type="dxa"/>
            <w:vMerge/>
            <w:tcBorders>
              <w:top w:val="nil"/>
              <w:left w:val="nil"/>
              <w:bottom w:val="nil"/>
              <w:right w:val="nil"/>
            </w:tcBorders>
            <w:vAlign w:val="center"/>
            <w:hideMark/>
          </w:tcPr>
          <w:p w14:paraId="750990E1" w14:textId="77777777" w:rsidR="003B65DC" w:rsidRPr="002862F3" w:rsidRDefault="003B65DC" w:rsidP="008D226B">
            <w:pPr>
              <w:rPr>
                <w:color w:val="000000"/>
                <w:sz w:val="18"/>
                <w:szCs w:val="18"/>
              </w:rPr>
            </w:pPr>
          </w:p>
        </w:tc>
        <w:tc>
          <w:tcPr>
            <w:tcW w:w="877" w:type="dxa"/>
            <w:tcBorders>
              <w:top w:val="nil"/>
              <w:left w:val="nil"/>
              <w:right w:val="nil"/>
            </w:tcBorders>
            <w:vAlign w:val="center"/>
            <w:hideMark/>
          </w:tcPr>
          <w:p w14:paraId="0B07EEB1" w14:textId="77777777" w:rsidR="003B65DC" w:rsidRPr="002862F3" w:rsidRDefault="003B65DC" w:rsidP="008D226B">
            <w:pPr>
              <w:rPr>
                <w:b/>
                <w:color w:val="000000"/>
                <w:sz w:val="18"/>
                <w:szCs w:val="18"/>
              </w:rPr>
            </w:pPr>
            <w:r w:rsidRPr="002862F3">
              <w:rPr>
                <w:b/>
                <w:color w:val="000000"/>
                <w:sz w:val="18"/>
                <w:szCs w:val="18"/>
              </w:rPr>
              <w:t>Change</w:t>
            </w:r>
          </w:p>
        </w:tc>
        <w:tc>
          <w:tcPr>
            <w:tcW w:w="1035" w:type="dxa"/>
            <w:tcBorders>
              <w:top w:val="nil"/>
              <w:left w:val="nil"/>
              <w:right w:val="nil"/>
            </w:tcBorders>
            <w:vAlign w:val="center"/>
          </w:tcPr>
          <w:p w14:paraId="4A5CC5F4" w14:textId="77777777" w:rsidR="003B65DC" w:rsidRPr="002862F3" w:rsidRDefault="003B65DC" w:rsidP="008D226B">
            <w:pPr>
              <w:rPr>
                <w:color w:val="000000"/>
                <w:sz w:val="18"/>
                <w:szCs w:val="18"/>
              </w:rPr>
            </w:pPr>
            <w:r w:rsidRPr="002862F3">
              <w:rPr>
                <w:color w:val="000000"/>
                <w:sz w:val="18"/>
                <w:szCs w:val="18"/>
              </w:rPr>
              <w:t>11.6±0.9</w:t>
            </w:r>
          </w:p>
        </w:tc>
        <w:tc>
          <w:tcPr>
            <w:tcW w:w="1035" w:type="dxa"/>
            <w:tcBorders>
              <w:top w:val="nil"/>
              <w:left w:val="nil"/>
              <w:right w:val="nil"/>
            </w:tcBorders>
            <w:vAlign w:val="center"/>
          </w:tcPr>
          <w:p w14:paraId="642310AF" w14:textId="77777777" w:rsidR="003B65DC" w:rsidRPr="002862F3" w:rsidRDefault="003B65DC" w:rsidP="008D226B">
            <w:pPr>
              <w:rPr>
                <w:color w:val="000000"/>
                <w:sz w:val="18"/>
                <w:szCs w:val="18"/>
              </w:rPr>
            </w:pPr>
            <w:r w:rsidRPr="002862F3">
              <w:rPr>
                <w:color w:val="000000"/>
                <w:sz w:val="18"/>
                <w:szCs w:val="18"/>
              </w:rPr>
              <w:t>11.1±0.2</w:t>
            </w:r>
          </w:p>
        </w:tc>
        <w:tc>
          <w:tcPr>
            <w:tcW w:w="1035" w:type="dxa"/>
            <w:tcBorders>
              <w:top w:val="nil"/>
              <w:left w:val="nil"/>
              <w:right w:val="nil"/>
            </w:tcBorders>
            <w:vAlign w:val="center"/>
          </w:tcPr>
          <w:p w14:paraId="3043EAC2" w14:textId="77777777" w:rsidR="003B65DC" w:rsidRPr="002862F3" w:rsidRDefault="003B65DC" w:rsidP="008D226B">
            <w:pPr>
              <w:rPr>
                <w:color w:val="000000"/>
                <w:sz w:val="18"/>
                <w:szCs w:val="18"/>
              </w:rPr>
            </w:pPr>
            <w:r w:rsidRPr="002862F3">
              <w:rPr>
                <w:color w:val="000000"/>
                <w:sz w:val="18"/>
                <w:szCs w:val="18"/>
              </w:rPr>
              <w:t>10.3±1.0</w:t>
            </w:r>
          </w:p>
        </w:tc>
        <w:tc>
          <w:tcPr>
            <w:tcW w:w="1035" w:type="dxa"/>
            <w:tcBorders>
              <w:top w:val="nil"/>
              <w:left w:val="nil"/>
              <w:right w:val="nil"/>
            </w:tcBorders>
            <w:vAlign w:val="center"/>
          </w:tcPr>
          <w:p w14:paraId="3891DE82" w14:textId="77777777" w:rsidR="003B65DC" w:rsidRPr="002862F3" w:rsidRDefault="003B65DC" w:rsidP="008D226B">
            <w:pPr>
              <w:rPr>
                <w:color w:val="000000"/>
                <w:sz w:val="18"/>
                <w:szCs w:val="18"/>
              </w:rPr>
            </w:pPr>
            <w:r w:rsidRPr="002862F3">
              <w:rPr>
                <w:color w:val="000000"/>
                <w:sz w:val="18"/>
                <w:szCs w:val="18"/>
              </w:rPr>
              <w:t>10.1±1.4</w:t>
            </w:r>
          </w:p>
        </w:tc>
        <w:tc>
          <w:tcPr>
            <w:tcW w:w="1035" w:type="dxa"/>
            <w:tcBorders>
              <w:top w:val="nil"/>
              <w:left w:val="nil"/>
              <w:right w:val="nil"/>
            </w:tcBorders>
            <w:vAlign w:val="center"/>
          </w:tcPr>
          <w:p w14:paraId="4F11E663" w14:textId="77777777" w:rsidR="003B65DC" w:rsidRPr="002862F3" w:rsidRDefault="003B65DC" w:rsidP="008D226B">
            <w:pPr>
              <w:rPr>
                <w:color w:val="000000"/>
                <w:sz w:val="18"/>
                <w:szCs w:val="18"/>
              </w:rPr>
            </w:pPr>
            <w:r w:rsidRPr="002862F3">
              <w:rPr>
                <w:color w:val="000000"/>
                <w:sz w:val="18"/>
                <w:szCs w:val="18"/>
              </w:rPr>
              <w:t>9.1±1.3</w:t>
            </w:r>
          </w:p>
        </w:tc>
        <w:tc>
          <w:tcPr>
            <w:tcW w:w="1035" w:type="dxa"/>
            <w:tcBorders>
              <w:top w:val="nil"/>
              <w:left w:val="nil"/>
              <w:right w:val="nil"/>
            </w:tcBorders>
            <w:vAlign w:val="center"/>
          </w:tcPr>
          <w:p w14:paraId="7CC0308A" w14:textId="77777777" w:rsidR="003B65DC" w:rsidRPr="002862F3" w:rsidRDefault="003B65DC" w:rsidP="008D226B">
            <w:pPr>
              <w:rPr>
                <w:color w:val="000000"/>
                <w:sz w:val="18"/>
                <w:szCs w:val="18"/>
              </w:rPr>
            </w:pPr>
            <w:r w:rsidRPr="002862F3">
              <w:rPr>
                <w:color w:val="000000"/>
                <w:sz w:val="18"/>
                <w:szCs w:val="18"/>
              </w:rPr>
              <w:t>8.2±1.7</w:t>
            </w:r>
          </w:p>
        </w:tc>
      </w:tr>
      <w:tr w:rsidR="003B65DC" w:rsidRPr="002862F3" w14:paraId="3F63370A" w14:textId="77777777" w:rsidTr="008D226B">
        <w:trPr>
          <w:trHeight w:val="300"/>
        </w:trPr>
        <w:tc>
          <w:tcPr>
            <w:tcW w:w="616" w:type="dxa"/>
            <w:vMerge/>
            <w:tcBorders>
              <w:top w:val="nil"/>
              <w:left w:val="nil"/>
              <w:bottom w:val="single" w:sz="4" w:space="0" w:color="auto"/>
              <w:right w:val="nil"/>
            </w:tcBorders>
            <w:vAlign w:val="center"/>
            <w:hideMark/>
          </w:tcPr>
          <w:p w14:paraId="1A68F30C" w14:textId="77777777" w:rsidR="003B65DC" w:rsidRPr="002862F3" w:rsidRDefault="003B65DC" w:rsidP="008D226B">
            <w:pPr>
              <w:rPr>
                <w:color w:val="000000"/>
                <w:sz w:val="18"/>
                <w:szCs w:val="18"/>
              </w:rPr>
            </w:pPr>
          </w:p>
        </w:tc>
        <w:tc>
          <w:tcPr>
            <w:tcW w:w="877" w:type="dxa"/>
            <w:tcBorders>
              <w:top w:val="nil"/>
              <w:left w:val="nil"/>
              <w:bottom w:val="single" w:sz="4" w:space="0" w:color="auto"/>
              <w:right w:val="nil"/>
            </w:tcBorders>
            <w:vAlign w:val="center"/>
            <w:hideMark/>
          </w:tcPr>
          <w:p w14:paraId="4740CCAE" w14:textId="77777777" w:rsidR="003B65DC" w:rsidRPr="002862F3" w:rsidRDefault="003B65DC" w:rsidP="008D226B">
            <w:pPr>
              <w:rPr>
                <w:b/>
                <w:color w:val="000000"/>
                <w:sz w:val="18"/>
                <w:szCs w:val="18"/>
              </w:rPr>
            </w:pPr>
            <w:r w:rsidRPr="002862F3">
              <w:rPr>
                <w:b/>
                <w:color w:val="000000"/>
                <w:sz w:val="18"/>
                <w:szCs w:val="18"/>
              </w:rPr>
              <w:t>P*</w:t>
            </w:r>
          </w:p>
        </w:tc>
        <w:tc>
          <w:tcPr>
            <w:tcW w:w="1035" w:type="dxa"/>
            <w:tcBorders>
              <w:top w:val="nil"/>
              <w:left w:val="nil"/>
              <w:bottom w:val="single" w:sz="4" w:space="0" w:color="auto"/>
              <w:right w:val="nil"/>
            </w:tcBorders>
            <w:vAlign w:val="center"/>
          </w:tcPr>
          <w:p w14:paraId="1BF90754" w14:textId="77777777" w:rsidR="003B65DC" w:rsidRPr="002862F3" w:rsidRDefault="003B65DC" w:rsidP="008D226B">
            <w:pPr>
              <w:rPr>
                <w:color w:val="000000"/>
                <w:sz w:val="18"/>
                <w:szCs w:val="18"/>
              </w:rPr>
            </w:pPr>
            <w:r w:rsidRPr="002862F3">
              <w:rPr>
                <w:color w:val="000000"/>
                <w:sz w:val="18"/>
                <w:szCs w:val="18"/>
              </w:rPr>
              <w:t>&lt; 0.001</w:t>
            </w:r>
          </w:p>
        </w:tc>
        <w:tc>
          <w:tcPr>
            <w:tcW w:w="1035" w:type="dxa"/>
            <w:tcBorders>
              <w:top w:val="nil"/>
              <w:left w:val="nil"/>
              <w:bottom w:val="single" w:sz="4" w:space="0" w:color="auto"/>
              <w:right w:val="nil"/>
            </w:tcBorders>
            <w:vAlign w:val="center"/>
          </w:tcPr>
          <w:p w14:paraId="3B9AEC5F" w14:textId="77777777" w:rsidR="003B65DC" w:rsidRPr="002862F3" w:rsidRDefault="003B65DC" w:rsidP="008D226B">
            <w:pPr>
              <w:rPr>
                <w:color w:val="000000"/>
                <w:sz w:val="18"/>
                <w:szCs w:val="18"/>
              </w:rPr>
            </w:pPr>
            <w:r w:rsidRPr="002862F3">
              <w:rPr>
                <w:color w:val="000000"/>
                <w:sz w:val="18"/>
                <w:szCs w:val="18"/>
              </w:rPr>
              <w:t>&lt; 0.001</w:t>
            </w:r>
          </w:p>
        </w:tc>
        <w:tc>
          <w:tcPr>
            <w:tcW w:w="1035" w:type="dxa"/>
            <w:tcBorders>
              <w:top w:val="nil"/>
              <w:left w:val="nil"/>
              <w:bottom w:val="single" w:sz="4" w:space="0" w:color="auto"/>
              <w:right w:val="nil"/>
            </w:tcBorders>
            <w:vAlign w:val="center"/>
          </w:tcPr>
          <w:p w14:paraId="416ABD99" w14:textId="77777777" w:rsidR="003B65DC" w:rsidRPr="002862F3" w:rsidRDefault="003B65DC" w:rsidP="008D226B">
            <w:pPr>
              <w:rPr>
                <w:color w:val="000000"/>
                <w:sz w:val="18"/>
                <w:szCs w:val="18"/>
              </w:rPr>
            </w:pPr>
            <w:r w:rsidRPr="002862F3">
              <w:rPr>
                <w:color w:val="000000"/>
                <w:sz w:val="18"/>
                <w:szCs w:val="18"/>
              </w:rPr>
              <w:t>&lt; 0.001</w:t>
            </w:r>
          </w:p>
        </w:tc>
        <w:tc>
          <w:tcPr>
            <w:tcW w:w="1035" w:type="dxa"/>
            <w:tcBorders>
              <w:top w:val="nil"/>
              <w:left w:val="nil"/>
              <w:bottom w:val="single" w:sz="4" w:space="0" w:color="auto"/>
              <w:right w:val="nil"/>
            </w:tcBorders>
            <w:vAlign w:val="center"/>
          </w:tcPr>
          <w:p w14:paraId="36F85C31" w14:textId="77777777" w:rsidR="003B65DC" w:rsidRPr="002862F3" w:rsidRDefault="003B65DC" w:rsidP="008D226B">
            <w:pPr>
              <w:rPr>
                <w:color w:val="000000"/>
                <w:sz w:val="18"/>
                <w:szCs w:val="18"/>
              </w:rPr>
            </w:pPr>
            <w:r w:rsidRPr="002862F3">
              <w:rPr>
                <w:color w:val="000000"/>
                <w:sz w:val="18"/>
                <w:szCs w:val="18"/>
              </w:rPr>
              <w:t>&lt; 0.001</w:t>
            </w:r>
          </w:p>
        </w:tc>
        <w:tc>
          <w:tcPr>
            <w:tcW w:w="1035" w:type="dxa"/>
            <w:tcBorders>
              <w:top w:val="nil"/>
              <w:left w:val="nil"/>
              <w:bottom w:val="single" w:sz="4" w:space="0" w:color="auto"/>
              <w:right w:val="nil"/>
            </w:tcBorders>
            <w:vAlign w:val="center"/>
          </w:tcPr>
          <w:p w14:paraId="70F593D2" w14:textId="77777777" w:rsidR="003B65DC" w:rsidRPr="002862F3" w:rsidRDefault="003B65DC" w:rsidP="008D226B">
            <w:pPr>
              <w:rPr>
                <w:color w:val="000000"/>
                <w:sz w:val="18"/>
                <w:szCs w:val="18"/>
              </w:rPr>
            </w:pPr>
            <w:r w:rsidRPr="002862F3">
              <w:rPr>
                <w:color w:val="000000"/>
                <w:sz w:val="18"/>
                <w:szCs w:val="18"/>
              </w:rPr>
              <w:t>&lt; 0.001</w:t>
            </w:r>
          </w:p>
        </w:tc>
        <w:tc>
          <w:tcPr>
            <w:tcW w:w="1035" w:type="dxa"/>
            <w:tcBorders>
              <w:top w:val="nil"/>
              <w:left w:val="nil"/>
              <w:bottom w:val="single" w:sz="4" w:space="0" w:color="auto"/>
              <w:right w:val="nil"/>
            </w:tcBorders>
            <w:vAlign w:val="center"/>
          </w:tcPr>
          <w:p w14:paraId="1834DF32" w14:textId="77777777" w:rsidR="003B65DC" w:rsidRPr="002862F3" w:rsidRDefault="003B65DC" w:rsidP="008D226B">
            <w:pPr>
              <w:rPr>
                <w:color w:val="000000"/>
                <w:sz w:val="18"/>
                <w:szCs w:val="18"/>
              </w:rPr>
            </w:pPr>
            <w:r w:rsidRPr="002862F3">
              <w:rPr>
                <w:color w:val="000000"/>
                <w:sz w:val="18"/>
                <w:szCs w:val="18"/>
              </w:rPr>
              <w:t>&lt; 0.001</w:t>
            </w:r>
          </w:p>
        </w:tc>
      </w:tr>
      <w:tr w:rsidR="003B65DC" w:rsidRPr="002862F3" w14:paraId="4655F7F8" w14:textId="77777777" w:rsidTr="008D226B">
        <w:trPr>
          <w:trHeight w:val="450"/>
        </w:trPr>
        <w:tc>
          <w:tcPr>
            <w:tcW w:w="616" w:type="dxa"/>
            <w:vMerge w:val="restart"/>
            <w:tcBorders>
              <w:left w:val="nil"/>
              <w:bottom w:val="nil"/>
              <w:right w:val="nil"/>
            </w:tcBorders>
            <w:noWrap/>
            <w:vAlign w:val="center"/>
          </w:tcPr>
          <w:p w14:paraId="5C43451C" w14:textId="77777777" w:rsidR="003B65DC" w:rsidRPr="002862F3" w:rsidRDefault="003B65DC" w:rsidP="008D226B">
            <w:pPr>
              <w:jc w:val="right"/>
              <w:rPr>
                <w:b/>
                <w:color w:val="000000"/>
                <w:sz w:val="18"/>
                <w:szCs w:val="18"/>
              </w:rPr>
            </w:pPr>
            <w:r w:rsidRPr="002862F3">
              <w:rPr>
                <w:b/>
                <w:color w:val="000000"/>
                <w:sz w:val="18"/>
                <w:szCs w:val="18"/>
              </w:rPr>
              <w:t>Total</w:t>
            </w:r>
          </w:p>
        </w:tc>
        <w:tc>
          <w:tcPr>
            <w:tcW w:w="877" w:type="dxa"/>
            <w:tcBorders>
              <w:left w:val="nil"/>
              <w:bottom w:val="nil"/>
              <w:right w:val="nil"/>
            </w:tcBorders>
            <w:vAlign w:val="center"/>
          </w:tcPr>
          <w:p w14:paraId="1BBF3225" w14:textId="77777777" w:rsidR="003B65DC" w:rsidRPr="002862F3" w:rsidRDefault="003B65DC" w:rsidP="008D226B">
            <w:pPr>
              <w:rPr>
                <w:b/>
                <w:color w:val="000000"/>
                <w:sz w:val="18"/>
                <w:szCs w:val="18"/>
              </w:rPr>
            </w:pPr>
            <w:r w:rsidRPr="002862F3">
              <w:rPr>
                <w:b/>
                <w:color w:val="000000"/>
                <w:sz w:val="18"/>
                <w:szCs w:val="18"/>
              </w:rPr>
              <w:t>Pre</w:t>
            </w:r>
          </w:p>
        </w:tc>
        <w:tc>
          <w:tcPr>
            <w:tcW w:w="1035" w:type="dxa"/>
            <w:tcBorders>
              <w:left w:val="nil"/>
              <w:bottom w:val="nil"/>
              <w:right w:val="nil"/>
            </w:tcBorders>
            <w:vAlign w:val="center"/>
          </w:tcPr>
          <w:p w14:paraId="10F3694C" w14:textId="77777777" w:rsidR="003B65DC" w:rsidRPr="002862F3" w:rsidRDefault="003B65DC" w:rsidP="008D226B">
            <w:pPr>
              <w:rPr>
                <w:color w:val="000000"/>
                <w:sz w:val="18"/>
                <w:szCs w:val="18"/>
              </w:rPr>
            </w:pPr>
            <w:r w:rsidRPr="002862F3">
              <w:rPr>
                <w:color w:val="000000"/>
                <w:sz w:val="18"/>
                <w:szCs w:val="18"/>
              </w:rPr>
              <w:t>123.1±12.0</w:t>
            </w:r>
          </w:p>
        </w:tc>
        <w:tc>
          <w:tcPr>
            <w:tcW w:w="1035" w:type="dxa"/>
            <w:tcBorders>
              <w:left w:val="nil"/>
              <w:bottom w:val="nil"/>
              <w:right w:val="nil"/>
            </w:tcBorders>
            <w:vAlign w:val="center"/>
          </w:tcPr>
          <w:p w14:paraId="651B3065" w14:textId="77777777" w:rsidR="003B65DC" w:rsidRPr="002862F3" w:rsidRDefault="003B65DC" w:rsidP="008D226B">
            <w:pPr>
              <w:rPr>
                <w:color w:val="000000"/>
                <w:sz w:val="18"/>
                <w:szCs w:val="18"/>
              </w:rPr>
            </w:pPr>
            <w:r w:rsidRPr="002862F3">
              <w:rPr>
                <w:color w:val="000000"/>
                <w:sz w:val="18"/>
                <w:szCs w:val="18"/>
              </w:rPr>
              <w:t>132.3±13.2</w:t>
            </w:r>
          </w:p>
        </w:tc>
        <w:tc>
          <w:tcPr>
            <w:tcW w:w="1035" w:type="dxa"/>
            <w:tcBorders>
              <w:left w:val="nil"/>
              <w:bottom w:val="nil"/>
              <w:right w:val="nil"/>
            </w:tcBorders>
            <w:vAlign w:val="center"/>
          </w:tcPr>
          <w:p w14:paraId="5F1C7DD6" w14:textId="77777777" w:rsidR="003B65DC" w:rsidRPr="002862F3" w:rsidRDefault="003B65DC" w:rsidP="008D226B">
            <w:pPr>
              <w:rPr>
                <w:color w:val="000000"/>
                <w:sz w:val="18"/>
                <w:szCs w:val="18"/>
              </w:rPr>
            </w:pPr>
            <w:r w:rsidRPr="002862F3">
              <w:rPr>
                <w:color w:val="000000"/>
                <w:sz w:val="18"/>
                <w:szCs w:val="18"/>
              </w:rPr>
              <w:t>138.7±13.6</w:t>
            </w:r>
          </w:p>
        </w:tc>
        <w:tc>
          <w:tcPr>
            <w:tcW w:w="1035" w:type="dxa"/>
            <w:tcBorders>
              <w:left w:val="nil"/>
              <w:bottom w:val="nil"/>
              <w:right w:val="nil"/>
            </w:tcBorders>
            <w:vAlign w:val="center"/>
          </w:tcPr>
          <w:p w14:paraId="63147134" w14:textId="77777777" w:rsidR="003B65DC" w:rsidRPr="002862F3" w:rsidRDefault="003B65DC" w:rsidP="008D226B">
            <w:pPr>
              <w:rPr>
                <w:color w:val="000000"/>
                <w:sz w:val="18"/>
                <w:szCs w:val="18"/>
              </w:rPr>
            </w:pPr>
            <w:r w:rsidRPr="002862F3">
              <w:rPr>
                <w:color w:val="000000"/>
                <w:sz w:val="18"/>
                <w:szCs w:val="18"/>
              </w:rPr>
              <w:t>143.4±13.7</w:t>
            </w:r>
          </w:p>
        </w:tc>
        <w:tc>
          <w:tcPr>
            <w:tcW w:w="1035" w:type="dxa"/>
            <w:tcBorders>
              <w:left w:val="nil"/>
              <w:bottom w:val="nil"/>
              <w:right w:val="nil"/>
            </w:tcBorders>
            <w:vAlign w:val="center"/>
          </w:tcPr>
          <w:p w14:paraId="2247B867" w14:textId="77777777" w:rsidR="003B65DC" w:rsidRPr="002862F3" w:rsidRDefault="003B65DC" w:rsidP="008D226B">
            <w:pPr>
              <w:rPr>
                <w:color w:val="000000"/>
                <w:sz w:val="18"/>
                <w:szCs w:val="18"/>
              </w:rPr>
            </w:pPr>
            <w:r w:rsidRPr="002862F3">
              <w:rPr>
                <w:color w:val="000000"/>
                <w:sz w:val="18"/>
                <w:szCs w:val="18"/>
              </w:rPr>
              <w:t>148.8±12.5</w:t>
            </w:r>
          </w:p>
        </w:tc>
        <w:tc>
          <w:tcPr>
            <w:tcW w:w="1035" w:type="dxa"/>
            <w:tcBorders>
              <w:left w:val="nil"/>
              <w:bottom w:val="nil"/>
              <w:right w:val="nil"/>
            </w:tcBorders>
            <w:vAlign w:val="center"/>
          </w:tcPr>
          <w:p w14:paraId="3479F919" w14:textId="77777777" w:rsidR="003B65DC" w:rsidRPr="002862F3" w:rsidRDefault="003B65DC" w:rsidP="008D226B">
            <w:pPr>
              <w:rPr>
                <w:color w:val="000000"/>
                <w:sz w:val="18"/>
                <w:szCs w:val="18"/>
              </w:rPr>
            </w:pPr>
            <w:r w:rsidRPr="002862F3">
              <w:rPr>
                <w:color w:val="000000"/>
                <w:sz w:val="18"/>
                <w:szCs w:val="18"/>
              </w:rPr>
              <w:t>153.0±14.1</w:t>
            </w:r>
          </w:p>
        </w:tc>
      </w:tr>
      <w:tr w:rsidR="003B65DC" w:rsidRPr="002862F3" w14:paraId="29FA399E" w14:textId="77777777" w:rsidTr="008D226B">
        <w:trPr>
          <w:trHeight w:val="330"/>
        </w:trPr>
        <w:tc>
          <w:tcPr>
            <w:tcW w:w="616" w:type="dxa"/>
            <w:vMerge/>
            <w:tcBorders>
              <w:top w:val="nil"/>
              <w:left w:val="nil"/>
              <w:bottom w:val="nil"/>
              <w:right w:val="nil"/>
            </w:tcBorders>
            <w:vAlign w:val="center"/>
          </w:tcPr>
          <w:p w14:paraId="6B16AE4C" w14:textId="77777777" w:rsidR="003B65DC" w:rsidRPr="002862F3" w:rsidRDefault="003B65DC" w:rsidP="008D226B">
            <w:pPr>
              <w:rPr>
                <w:color w:val="000000"/>
                <w:sz w:val="18"/>
                <w:szCs w:val="18"/>
              </w:rPr>
            </w:pPr>
          </w:p>
        </w:tc>
        <w:tc>
          <w:tcPr>
            <w:tcW w:w="877" w:type="dxa"/>
            <w:tcBorders>
              <w:top w:val="nil"/>
              <w:left w:val="nil"/>
              <w:bottom w:val="nil"/>
              <w:right w:val="nil"/>
            </w:tcBorders>
            <w:vAlign w:val="center"/>
          </w:tcPr>
          <w:p w14:paraId="60298534" w14:textId="77777777" w:rsidR="003B65DC" w:rsidRPr="002862F3" w:rsidRDefault="003B65DC" w:rsidP="008D226B">
            <w:pPr>
              <w:rPr>
                <w:b/>
                <w:color w:val="000000"/>
                <w:sz w:val="18"/>
                <w:szCs w:val="18"/>
              </w:rPr>
            </w:pPr>
            <w:r w:rsidRPr="002862F3">
              <w:rPr>
                <w:b/>
                <w:color w:val="000000"/>
                <w:sz w:val="18"/>
                <w:szCs w:val="18"/>
              </w:rPr>
              <w:t>Post</w:t>
            </w:r>
          </w:p>
        </w:tc>
        <w:tc>
          <w:tcPr>
            <w:tcW w:w="1035" w:type="dxa"/>
            <w:tcBorders>
              <w:top w:val="nil"/>
              <w:left w:val="nil"/>
              <w:bottom w:val="nil"/>
              <w:right w:val="nil"/>
            </w:tcBorders>
            <w:vAlign w:val="center"/>
          </w:tcPr>
          <w:p w14:paraId="33E815CD" w14:textId="77777777" w:rsidR="003B65DC" w:rsidRPr="002862F3" w:rsidRDefault="003B65DC" w:rsidP="008D226B">
            <w:pPr>
              <w:rPr>
                <w:color w:val="000000"/>
                <w:sz w:val="18"/>
                <w:szCs w:val="18"/>
              </w:rPr>
            </w:pPr>
            <w:r w:rsidRPr="002862F3">
              <w:rPr>
                <w:color w:val="000000"/>
                <w:sz w:val="18"/>
                <w:szCs w:val="18"/>
              </w:rPr>
              <w:t>110.9±14.0</w:t>
            </w:r>
          </w:p>
        </w:tc>
        <w:tc>
          <w:tcPr>
            <w:tcW w:w="1035" w:type="dxa"/>
            <w:tcBorders>
              <w:top w:val="nil"/>
              <w:left w:val="nil"/>
              <w:bottom w:val="nil"/>
              <w:right w:val="nil"/>
            </w:tcBorders>
            <w:vAlign w:val="center"/>
          </w:tcPr>
          <w:p w14:paraId="69992140" w14:textId="77777777" w:rsidR="003B65DC" w:rsidRPr="002862F3" w:rsidRDefault="003B65DC" w:rsidP="008D226B">
            <w:pPr>
              <w:rPr>
                <w:color w:val="000000"/>
                <w:sz w:val="18"/>
                <w:szCs w:val="18"/>
              </w:rPr>
            </w:pPr>
            <w:r w:rsidRPr="002862F3">
              <w:rPr>
                <w:color w:val="000000"/>
                <w:sz w:val="18"/>
                <w:szCs w:val="18"/>
              </w:rPr>
              <w:t>120.3±14.1</w:t>
            </w:r>
          </w:p>
        </w:tc>
        <w:tc>
          <w:tcPr>
            <w:tcW w:w="1035" w:type="dxa"/>
            <w:tcBorders>
              <w:top w:val="nil"/>
              <w:left w:val="nil"/>
              <w:bottom w:val="nil"/>
              <w:right w:val="nil"/>
            </w:tcBorders>
            <w:vAlign w:val="center"/>
          </w:tcPr>
          <w:p w14:paraId="329D94E7" w14:textId="77777777" w:rsidR="003B65DC" w:rsidRPr="002862F3" w:rsidRDefault="003B65DC" w:rsidP="008D226B">
            <w:pPr>
              <w:rPr>
                <w:color w:val="000000"/>
                <w:sz w:val="18"/>
                <w:szCs w:val="18"/>
              </w:rPr>
            </w:pPr>
            <w:r w:rsidRPr="002862F3">
              <w:rPr>
                <w:color w:val="000000"/>
                <w:sz w:val="18"/>
                <w:szCs w:val="18"/>
              </w:rPr>
              <w:t>127.7±13.6</w:t>
            </w:r>
          </w:p>
        </w:tc>
        <w:tc>
          <w:tcPr>
            <w:tcW w:w="1035" w:type="dxa"/>
            <w:tcBorders>
              <w:top w:val="nil"/>
              <w:left w:val="nil"/>
              <w:bottom w:val="nil"/>
              <w:right w:val="nil"/>
            </w:tcBorders>
            <w:vAlign w:val="center"/>
          </w:tcPr>
          <w:p w14:paraId="62663709" w14:textId="77777777" w:rsidR="003B65DC" w:rsidRPr="002862F3" w:rsidRDefault="003B65DC" w:rsidP="008D226B">
            <w:pPr>
              <w:rPr>
                <w:color w:val="000000"/>
                <w:sz w:val="18"/>
                <w:szCs w:val="18"/>
              </w:rPr>
            </w:pPr>
            <w:r w:rsidRPr="002862F3">
              <w:rPr>
                <w:color w:val="000000"/>
                <w:sz w:val="18"/>
                <w:szCs w:val="18"/>
              </w:rPr>
              <w:t>133.0±13.3</w:t>
            </w:r>
          </w:p>
        </w:tc>
        <w:tc>
          <w:tcPr>
            <w:tcW w:w="1035" w:type="dxa"/>
            <w:tcBorders>
              <w:top w:val="nil"/>
              <w:left w:val="nil"/>
              <w:bottom w:val="nil"/>
              <w:right w:val="nil"/>
            </w:tcBorders>
            <w:vAlign w:val="center"/>
          </w:tcPr>
          <w:p w14:paraId="065A3B4D" w14:textId="77777777" w:rsidR="003B65DC" w:rsidRPr="002862F3" w:rsidRDefault="003B65DC" w:rsidP="008D226B">
            <w:pPr>
              <w:rPr>
                <w:color w:val="000000"/>
                <w:sz w:val="18"/>
                <w:szCs w:val="18"/>
              </w:rPr>
            </w:pPr>
            <w:r w:rsidRPr="002862F3">
              <w:rPr>
                <w:color w:val="000000"/>
                <w:sz w:val="18"/>
                <w:szCs w:val="18"/>
              </w:rPr>
              <w:t>139.2±12.3</w:t>
            </w:r>
          </w:p>
        </w:tc>
        <w:tc>
          <w:tcPr>
            <w:tcW w:w="1035" w:type="dxa"/>
            <w:tcBorders>
              <w:top w:val="nil"/>
              <w:left w:val="nil"/>
              <w:bottom w:val="nil"/>
              <w:right w:val="nil"/>
            </w:tcBorders>
            <w:vAlign w:val="center"/>
          </w:tcPr>
          <w:p w14:paraId="4EA1A315" w14:textId="77777777" w:rsidR="003B65DC" w:rsidRPr="002862F3" w:rsidRDefault="003B65DC" w:rsidP="008D226B">
            <w:pPr>
              <w:rPr>
                <w:color w:val="000000"/>
                <w:sz w:val="18"/>
                <w:szCs w:val="18"/>
              </w:rPr>
            </w:pPr>
            <w:r w:rsidRPr="002862F3">
              <w:rPr>
                <w:color w:val="000000"/>
                <w:sz w:val="18"/>
                <w:szCs w:val="18"/>
              </w:rPr>
              <w:t>144.9±12.8</w:t>
            </w:r>
          </w:p>
        </w:tc>
      </w:tr>
      <w:tr w:rsidR="003B65DC" w:rsidRPr="002862F3" w14:paraId="073AC999" w14:textId="77777777" w:rsidTr="008D226B">
        <w:trPr>
          <w:trHeight w:val="402"/>
        </w:trPr>
        <w:tc>
          <w:tcPr>
            <w:tcW w:w="616" w:type="dxa"/>
            <w:vMerge/>
            <w:tcBorders>
              <w:top w:val="nil"/>
              <w:left w:val="nil"/>
              <w:bottom w:val="nil"/>
              <w:right w:val="nil"/>
            </w:tcBorders>
            <w:vAlign w:val="center"/>
          </w:tcPr>
          <w:p w14:paraId="7F8125D5" w14:textId="77777777" w:rsidR="003B65DC" w:rsidRPr="002862F3" w:rsidRDefault="003B65DC" w:rsidP="008D226B">
            <w:pPr>
              <w:rPr>
                <w:color w:val="000000"/>
                <w:sz w:val="18"/>
                <w:szCs w:val="18"/>
              </w:rPr>
            </w:pPr>
          </w:p>
        </w:tc>
        <w:tc>
          <w:tcPr>
            <w:tcW w:w="877" w:type="dxa"/>
            <w:tcBorders>
              <w:top w:val="nil"/>
              <w:left w:val="nil"/>
              <w:bottom w:val="nil"/>
              <w:right w:val="nil"/>
            </w:tcBorders>
            <w:vAlign w:val="center"/>
          </w:tcPr>
          <w:p w14:paraId="18954881" w14:textId="77777777" w:rsidR="003B65DC" w:rsidRPr="002862F3" w:rsidRDefault="003B65DC" w:rsidP="008D226B">
            <w:pPr>
              <w:rPr>
                <w:b/>
                <w:color w:val="000000"/>
                <w:sz w:val="18"/>
                <w:szCs w:val="18"/>
              </w:rPr>
            </w:pPr>
            <w:r w:rsidRPr="002862F3">
              <w:rPr>
                <w:b/>
                <w:color w:val="000000"/>
                <w:sz w:val="18"/>
                <w:szCs w:val="18"/>
              </w:rPr>
              <w:t>Change</w:t>
            </w:r>
          </w:p>
        </w:tc>
        <w:tc>
          <w:tcPr>
            <w:tcW w:w="1035" w:type="dxa"/>
            <w:tcBorders>
              <w:top w:val="nil"/>
              <w:left w:val="nil"/>
              <w:bottom w:val="nil"/>
              <w:right w:val="nil"/>
            </w:tcBorders>
            <w:vAlign w:val="center"/>
          </w:tcPr>
          <w:p w14:paraId="320B3489" w14:textId="77777777" w:rsidR="003B65DC" w:rsidRPr="002862F3" w:rsidRDefault="003B65DC" w:rsidP="008D226B">
            <w:pPr>
              <w:rPr>
                <w:color w:val="000000"/>
                <w:sz w:val="18"/>
                <w:szCs w:val="18"/>
              </w:rPr>
            </w:pPr>
            <w:r w:rsidRPr="002862F3">
              <w:rPr>
                <w:color w:val="000000"/>
                <w:sz w:val="18"/>
                <w:szCs w:val="18"/>
              </w:rPr>
              <w:t>12.2±2.0</w:t>
            </w:r>
          </w:p>
        </w:tc>
        <w:tc>
          <w:tcPr>
            <w:tcW w:w="1035" w:type="dxa"/>
            <w:tcBorders>
              <w:top w:val="nil"/>
              <w:left w:val="nil"/>
              <w:bottom w:val="nil"/>
              <w:right w:val="nil"/>
            </w:tcBorders>
            <w:vAlign w:val="center"/>
          </w:tcPr>
          <w:p w14:paraId="72EB4408" w14:textId="77777777" w:rsidR="003B65DC" w:rsidRPr="002862F3" w:rsidRDefault="003B65DC" w:rsidP="008D226B">
            <w:pPr>
              <w:rPr>
                <w:color w:val="000000"/>
                <w:sz w:val="18"/>
                <w:szCs w:val="18"/>
              </w:rPr>
            </w:pPr>
            <w:r w:rsidRPr="002862F3">
              <w:rPr>
                <w:color w:val="000000"/>
                <w:sz w:val="18"/>
                <w:szCs w:val="18"/>
              </w:rPr>
              <w:t>12.0±0.9</w:t>
            </w:r>
          </w:p>
        </w:tc>
        <w:tc>
          <w:tcPr>
            <w:tcW w:w="1035" w:type="dxa"/>
            <w:tcBorders>
              <w:top w:val="nil"/>
              <w:left w:val="nil"/>
              <w:bottom w:val="nil"/>
              <w:right w:val="nil"/>
            </w:tcBorders>
            <w:vAlign w:val="center"/>
          </w:tcPr>
          <w:p w14:paraId="469DE60F" w14:textId="77777777" w:rsidR="003B65DC" w:rsidRPr="002862F3" w:rsidRDefault="003B65DC" w:rsidP="008D226B">
            <w:pPr>
              <w:rPr>
                <w:color w:val="000000"/>
                <w:sz w:val="18"/>
                <w:szCs w:val="18"/>
              </w:rPr>
            </w:pPr>
            <w:r w:rsidRPr="002862F3">
              <w:rPr>
                <w:color w:val="000000"/>
                <w:sz w:val="18"/>
                <w:szCs w:val="18"/>
              </w:rPr>
              <w:t>11.0±0.0</w:t>
            </w:r>
          </w:p>
        </w:tc>
        <w:tc>
          <w:tcPr>
            <w:tcW w:w="1035" w:type="dxa"/>
            <w:tcBorders>
              <w:top w:val="nil"/>
              <w:left w:val="nil"/>
              <w:bottom w:val="nil"/>
              <w:right w:val="nil"/>
            </w:tcBorders>
            <w:vAlign w:val="center"/>
          </w:tcPr>
          <w:p w14:paraId="328FB0BB" w14:textId="77777777" w:rsidR="003B65DC" w:rsidRPr="002862F3" w:rsidRDefault="003B65DC" w:rsidP="008D226B">
            <w:pPr>
              <w:rPr>
                <w:color w:val="000000"/>
                <w:sz w:val="18"/>
                <w:szCs w:val="18"/>
              </w:rPr>
            </w:pPr>
            <w:r w:rsidRPr="002862F3">
              <w:rPr>
                <w:color w:val="000000"/>
                <w:sz w:val="18"/>
                <w:szCs w:val="18"/>
              </w:rPr>
              <w:t>10.4±0.4</w:t>
            </w:r>
          </w:p>
        </w:tc>
        <w:tc>
          <w:tcPr>
            <w:tcW w:w="1035" w:type="dxa"/>
            <w:tcBorders>
              <w:top w:val="nil"/>
              <w:left w:val="nil"/>
              <w:bottom w:val="nil"/>
              <w:right w:val="nil"/>
            </w:tcBorders>
            <w:vAlign w:val="center"/>
          </w:tcPr>
          <w:p w14:paraId="4D7BC342" w14:textId="77777777" w:rsidR="003B65DC" w:rsidRPr="002862F3" w:rsidRDefault="003B65DC" w:rsidP="008D226B">
            <w:pPr>
              <w:rPr>
                <w:color w:val="000000"/>
                <w:sz w:val="18"/>
                <w:szCs w:val="18"/>
              </w:rPr>
            </w:pPr>
            <w:r w:rsidRPr="002862F3">
              <w:rPr>
                <w:color w:val="000000"/>
                <w:sz w:val="18"/>
                <w:szCs w:val="18"/>
              </w:rPr>
              <w:t>9.6±0.2</w:t>
            </w:r>
          </w:p>
        </w:tc>
        <w:tc>
          <w:tcPr>
            <w:tcW w:w="1035" w:type="dxa"/>
            <w:tcBorders>
              <w:top w:val="nil"/>
              <w:left w:val="nil"/>
              <w:bottom w:val="nil"/>
              <w:right w:val="nil"/>
            </w:tcBorders>
            <w:vAlign w:val="center"/>
          </w:tcPr>
          <w:p w14:paraId="1FFEA634" w14:textId="77777777" w:rsidR="003B65DC" w:rsidRPr="002862F3" w:rsidRDefault="003B65DC" w:rsidP="008D226B">
            <w:pPr>
              <w:rPr>
                <w:color w:val="000000"/>
                <w:sz w:val="18"/>
                <w:szCs w:val="18"/>
              </w:rPr>
            </w:pPr>
            <w:r w:rsidRPr="002862F3">
              <w:rPr>
                <w:color w:val="000000"/>
                <w:sz w:val="18"/>
                <w:szCs w:val="18"/>
              </w:rPr>
              <w:t>8.1±1.3</w:t>
            </w:r>
          </w:p>
        </w:tc>
      </w:tr>
      <w:tr w:rsidR="003B65DC" w:rsidRPr="002862F3" w14:paraId="6CF440ED" w14:textId="77777777" w:rsidTr="008D226B">
        <w:trPr>
          <w:trHeight w:val="300"/>
        </w:trPr>
        <w:tc>
          <w:tcPr>
            <w:tcW w:w="616" w:type="dxa"/>
            <w:vMerge/>
            <w:tcBorders>
              <w:top w:val="nil"/>
              <w:left w:val="nil"/>
              <w:bottom w:val="single" w:sz="4" w:space="0" w:color="auto"/>
              <w:right w:val="nil"/>
            </w:tcBorders>
            <w:vAlign w:val="center"/>
          </w:tcPr>
          <w:p w14:paraId="7554A89A" w14:textId="77777777" w:rsidR="003B65DC" w:rsidRPr="002862F3" w:rsidRDefault="003B65DC" w:rsidP="008D226B">
            <w:pPr>
              <w:rPr>
                <w:color w:val="000000"/>
                <w:sz w:val="18"/>
                <w:szCs w:val="18"/>
              </w:rPr>
            </w:pPr>
          </w:p>
        </w:tc>
        <w:tc>
          <w:tcPr>
            <w:tcW w:w="877" w:type="dxa"/>
            <w:tcBorders>
              <w:top w:val="nil"/>
              <w:left w:val="nil"/>
              <w:bottom w:val="single" w:sz="4" w:space="0" w:color="auto"/>
              <w:right w:val="nil"/>
            </w:tcBorders>
            <w:vAlign w:val="center"/>
          </w:tcPr>
          <w:p w14:paraId="4BD51AB9" w14:textId="77777777" w:rsidR="003B65DC" w:rsidRPr="002862F3" w:rsidRDefault="003B65DC" w:rsidP="008D226B">
            <w:pPr>
              <w:rPr>
                <w:b/>
                <w:color w:val="000000"/>
                <w:sz w:val="18"/>
                <w:szCs w:val="18"/>
              </w:rPr>
            </w:pPr>
            <w:r w:rsidRPr="002862F3">
              <w:rPr>
                <w:b/>
                <w:color w:val="000000"/>
                <w:sz w:val="18"/>
                <w:szCs w:val="18"/>
              </w:rPr>
              <w:t>P*</w:t>
            </w:r>
          </w:p>
        </w:tc>
        <w:tc>
          <w:tcPr>
            <w:tcW w:w="1035" w:type="dxa"/>
            <w:tcBorders>
              <w:top w:val="nil"/>
              <w:left w:val="nil"/>
              <w:bottom w:val="single" w:sz="4" w:space="0" w:color="auto"/>
              <w:right w:val="nil"/>
            </w:tcBorders>
            <w:vAlign w:val="center"/>
          </w:tcPr>
          <w:p w14:paraId="496F11EF" w14:textId="77777777" w:rsidR="003B65DC" w:rsidRPr="002862F3" w:rsidRDefault="003B65DC" w:rsidP="008D226B">
            <w:pPr>
              <w:rPr>
                <w:color w:val="000000"/>
                <w:sz w:val="18"/>
                <w:szCs w:val="18"/>
              </w:rPr>
            </w:pPr>
            <w:r w:rsidRPr="002862F3">
              <w:rPr>
                <w:color w:val="000000"/>
                <w:sz w:val="18"/>
                <w:szCs w:val="18"/>
              </w:rPr>
              <w:t>&lt; 0.001</w:t>
            </w:r>
          </w:p>
        </w:tc>
        <w:tc>
          <w:tcPr>
            <w:tcW w:w="1035" w:type="dxa"/>
            <w:tcBorders>
              <w:top w:val="nil"/>
              <w:left w:val="nil"/>
              <w:bottom w:val="single" w:sz="4" w:space="0" w:color="auto"/>
              <w:right w:val="nil"/>
            </w:tcBorders>
            <w:vAlign w:val="center"/>
          </w:tcPr>
          <w:p w14:paraId="450FD8CA" w14:textId="77777777" w:rsidR="003B65DC" w:rsidRPr="002862F3" w:rsidRDefault="003B65DC" w:rsidP="008D226B">
            <w:pPr>
              <w:rPr>
                <w:color w:val="000000"/>
                <w:sz w:val="18"/>
                <w:szCs w:val="18"/>
              </w:rPr>
            </w:pPr>
            <w:r w:rsidRPr="002862F3">
              <w:rPr>
                <w:color w:val="000000"/>
                <w:sz w:val="18"/>
                <w:szCs w:val="18"/>
              </w:rPr>
              <w:t>&lt; 0.001</w:t>
            </w:r>
          </w:p>
        </w:tc>
        <w:tc>
          <w:tcPr>
            <w:tcW w:w="1035" w:type="dxa"/>
            <w:tcBorders>
              <w:top w:val="nil"/>
              <w:left w:val="nil"/>
              <w:bottom w:val="single" w:sz="4" w:space="0" w:color="auto"/>
              <w:right w:val="nil"/>
            </w:tcBorders>
            <w:vAlign w:val="center"/>
          </w:tcPr>
          <w:p w14:paraId="0BFC847E" w14:textId="77777777" w:rsidR="003B65DC" w:rsidRPr="002862F3" w:rsidRDefault="003B65DC" w:rsidP="008D226B">
            <w:pPr>
              <w:rPr>
                <w:color w:val="000000"/>
                <w:sz w:val="18"/>
                <w:szCs w:val="18"/>
              </w:rPr>
            </w:pPr>
            <w:r w:rsidRPr="002862F3">
              <w:rPr>
                <w:color w:val="000000"/>
                <w:sz w:val="18"/>
                <w:szCs w:val="18"/>
              </w:rPr>
              <w:t>&lt; 0.001</w:t>
            </w:r>
          </w:p>
        </w:tc>
        <w:tc>
          <w:tcPr>
            <w:tcW w:w="1035" w:type="dxa"/>
            <w:tcBorders>
              <w:top w:val="nil"/>
              <w:left w:val="nil"/>
              <w:bottom w:val="single" w:sz="4" w:space="0" w:color="auto"/>
              <w:right w:val="nil"/>
            </w:tcBorders>
            <w:vAlign w:val="center"/>
          </w:tcPr>
          <w:p w14:paraId="717397B5" w14:textId="77777777" w:rsidR="003B65DC" w:rsidRPr="002862F3" w:rsidRDefault="003B65DC" w:rsidP="008D226B">
            <w:pPr>
              <w:rPr>
                <w:color w:val="000000"/>
                <w:sz w:val="18"/>
                <w:szCs w:val="18"/>
              </w:rPr>
            </w:pPr>
            <w:r w:rsidRPr="002862F3">
              <w:rPr>
                <w:color w:val="000000"/>
                <w:sz w:val="18"/>
                <w:szCs w:val="18"/>
              </w:rPr>
              <w:t>&lt; 0.001</w:t>
            </w:r>
          </w:p>
        </w:tc>
        <w:tc>
          <w:tcPr>
            <w:tcW w:w="1035" w:type="dxa"/>
            <w:tcBorders>
              <w:top w:val="nil"/>
              <w:left w:val="nil"/>
              <w:bottom w:val="single" w:sz="4" w:space="0" w:color="auto"/>
              <w:right w:val="nil"/>
            </w:tcBorders>
            <w:vAlign w:val="center"/>
          </w:tcPr>
          <w:p w14:paraId="7A8FF4F5" w14:textId="77777777" w:rsidR="003B65DC" w:rsidRPr="002862F3" w:rsidRDefault="003B65DC" w:rsidP="008D226B">
            <w:pPr>
              <w:rPr>
                <w:color w:val="000000"/>
                <w:sz w:val="18"/>
                <w:szCs w:val="18"/>
              </w:rPr>
            </w:pPr>
            <w:r w:rsidRPr="002862F3">
              <w:rPr>
                <w:color w:val="000000"/>
                <w:sz w:val="18"/>
                <w:szCs w:val="18"/>
              </w:rPr>
              <w:t>&lt; 0.001</w:t>
            </w:r>
          </w:p>
        </w:tc>
        <w:tc>
          <w:tcPr>
            <w:tcW w:w="1035" w:type="dxa"/>
            <w:tcBorders>
              <w:top w:val="nil"/>
              <w:left w:val="nil"/>
              <w:bottom w:val="single" w:sz="4" w:space="0" w:color="auto"/>
              <w:right w:val="nil"/>
            </w:tcBorders>
            <w:vAlign w:val="center"/>
          </w:tcPr>
          <w:p w14:paraId="7FB56518" w14:textId="77777777" w:rsidR="003B65DC" w:rsidRPr="002862F3" w:rsidRDefault="003B65DC" w:rsidP="008D226B">
            <w:pPr>
              <w:rPr>
                <w:color w:val="000000"/>
                <w:sz w:val="18"/>
                <w:szCs w:val="18"/>
              </w:rPr>
            </w:pPr>
            <w:r w:rsidRPr="002862F3">
              <w:rPr>
                <w:color w:val="000000"/>
                <w:sz w:val="18"/>
                <w:szCs w:val="18"/>
              </w:rPr>
              <w:t>&lt; 0.001</w:t>
            </w:r>
          </w:p>
        </w:tc>
      </w:tr>
    </w:tbl>
    <w:p w14:paraId="0D49A461" w14:textId="6D036074" w:rsidR="003B65DC" w:rsidRDefault="003B65DC" w:rsidP="003B65DC">
      <w:pPr>
        <w:jc w:val="both"/>
        <w:rPr>
          <w:rFonts w:asciiTheme="majorBidi" w:hAnsiTheme="majorBidi" w:cstheme="majorBidi"/>
          <w:sz w:val="24"/>
          <w:szCs w:val="24"/>
        </w:rPr>
      </w:pPr>
    </w:p>
    <w:p w14:paraId="5C26F981" w14:textId="77777777" w:rsidR="00593709" w:rsidRDefault="00593709" w:rsidP="003B65DC">
      <w:pPr>
        <w:spacing w:line="480" w:lineRule="auto"/>
        <w:rPr>
          <w:sz w:val="24"/>
          <w:szCs w:val="24"/>
        </w:rPr>
      </w:pPr>
    </w:p>
    <w:p w14:paraId="1C3A83D8" w14:textId="1AC3948F" w:rsidR="003B65DC" w:rsidRDefault="003B65DC" w:rsidP="003B65DC">
      <w:pPr>
        <w:spacing w:line="480" w:lineRule="auto"/>
        <w:rPr>
          <w:sz w:val="24"/>
          <w:szCs w:val="24"/>
        </w:rPr>
      </w:pPr>
      <w:r w:rsidRPr="002862F3">
        <w:rPr>
          <w:sz w:val="24"/>
          <w:szCs w:val="24"/>
        </w:rPr>
        <w:t xml:space="preserve">HR-CE: Heart Rate during Cycle Ergometer exercise </w:t>
      </w:r>
    </w:p>
    <w:p w14:paraId="38A594DB" w14:textId="4E0290B7" w:rsidR="003B65DC" w:rsidRDefault="00A25A0A" w:rsidP="003B65DC">
      <w:pPr>
        <w:jc w:val="both"/>
        <w:rPr>
          <w:rFonts w:asciiTheme="majorBidi" w:hAnsiTheme="majorBidi" w:cstheme="majorBidi"/>
          <w:sz w:val="24"/>
          <w:szCs w:val="24"/>
        </w:rPr>
      </w:pPr>
      <w:r w:rsidRPr="008D226B">
        <w:rPr>
          <w:noProof/>
        </w:rPr>
        <w:drawing>
          <wp:anchor distT="0" distB="0" distL="114300" distR="114300" simplePos="0" relativeHeight="251662336" behindDoc="0" locked="0" layoutInCell="1" allowOverlap="1" wp14:anchorId="0BE0BD41" wp14:editId="0FDA937D">
            <wp:simplePos x="0" y="0"/>
            <wp:positionH relativeFrom="margin">
              <wp:align>center</wp:align>
            </wp:positionH>
            <wp:positionV relativeFrom="paragraph">
              <wp:posOffset>4445</wp:posOffset>
            </wp:positionV>
            <wp:extent cx="3240156" cy="3240156"/>
            <wp:effectExtent l="0" t="0" r="0" b="0"/>
            <wp:wrapNone/>
            <wp:docPr id="894451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240156" cy="32401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7A19EB" w14:textId="77777777" w:rsidR="00A25A0A" w:rsidRDefault="00A25A0A" w:rsidP="00A25A0A">
      <w:pPr>
        <w:rPr>
          <w:rFonts w:asciiTheme="majorBidi" w:hAnsiTheme="majorBidi" w:cstheme="majorBidi"/>
          <w:sz w:val="24"/>
          <w:szCs w:val="24"/>
        </w:rPr>
      </w:pPr>
    </w:p>
    <w:p w14:paraId="414E1468" w14:textId="77777777" w:rsidR="00A25A0A" w:rsidRDefault="00A25A0A" w:rsidP="00A25A0A">
      <w:pPr>
        <w:rPr>
          <w:rFonts w:asciiTheme="majorBidi" w:hAnsiTheme="majorBidi" w:cstheme="majorBidi"/>
          <w:sz w:val="24"/>
          <w:szCs w:val="24"/>
        </w:rPr>
      </w:pPr>
    </w:p>
    <w:p w14:paraId="01E564E1" w14:textId="77777777" w:rsidR="00A25A0A" w:rsidRDefault="00A25A0A" w:rsidP="00A25A0A">
      <w:pPr>
        <w:rPr>
          <w:rFonts w:asciiTheme="majorBidi" w:hAnsiTheme="majorBidi" w:cstheme="majorBidi"/>
          <w:sz w:val="24"/>
          <w:szCs w:val="24"/>
        </w:rPr>
      </w:pPr>
    </w:p>
    <w:p w14:paraId="54729F41" w14:textId="77777777" w:rsidR="00A25A0A" w:rsidRDefault="00A25A0A" w:rsidP="00A25A0A">
      <w:pPr>
        <w:rPr>
          <w:rFonts w:asciiTheme="majorBidi" w:hAnsiTheme="majorBidi" w:cstheme="majorBidi"/>
          <w:sz w:val="24"/>
          <w:szCs w:val="24"/>
        </w:rPr>
      </w:pPr>
    </w:p>
    <w:p w14:paraId="5DD96663" w14:textId="77777777" w:rsidR="00A25A0A" w:rsidRDefault="00A25A0A" w:rsidP="00A25A0A">
      <w:pPr>
        <w:rPr>
          <w:rFonts w:asciiTheme="majorBidi" w:hAnsiTheme="majorBidi" w:cstheme="majorBidi"/>
          <w:sz w:val="24"/>
          <w:szCs w:val="24"/>
        </w:rPr>
      </w:pPr>
    </w:p>
    <w:p w14:paraId="5989C123" w14:textId="77777777" w:rsidR="00A25A0A" w:rsidRDefault="00A25A0A" w:rsidP="00A25A0A">
      <w:pPr>
        <w:rPr>
          <w:rFonts w:asciiTheme="majorBidi" w:hAnsiTheme="majorBidi" w:cstheme="majorBidi"/>
          <w:sz w:val="24"/>
          <w:szCs w:val="24"/>
        </w:rPr>
      </w:pPr>
    </w:p>
    <w:p w14:paraId="21CD4488" w14:textId="77777777" w:rsidR="00A25A0A" w:rsidRDefault="00A25A0A" w:rsidP="00A25A0A">
      <w:pPr>
        <w:rPr>
          <w:rFonts w:asciiTheme="majorBidi" w:hAnsiTheme="majorBidi" w:cstheme="majorBidi"/>
          <w:sz w:val="24"/>
          <w:szCs w:val="24"/>
        </w:rPr>
      </w:pPr>
    </w:p>
    <w:p w14:paraId="35F2D970" w14:textId="77777777" w:rsidR="00A25A0A" w:rsidRDefault="00A25A0A" w:rsidP="00A25A0A">
      <w:pPr>
        <w:rPr>
          <w:rFonts w:asciiTheme="majorBidi" w:hAnsiTheme="majorBidi" w:cstheme="majorBidi"/>
          <w:sz w:val="24"/>
          <w:szCs w:val="24"/>
        </w:rPr>
      </w:pPr>
    </w:p>
    <w:p w14:paraId="6908B9BF" w14:textId="77777777" w:rsidR="00A25A0A" w:rsidRDefault="00A25A0A" w:rsidP="00A25A0A">
      <w:pPr>
        <w:rPr>
          <w:rFonts w:asciiTheme="majorBidi" w:hAnsiTheme="majorBidi" w:cstheme="majorBidi"/>
          <w:sz w:val="24"/>
          <w:szCs w:val="24"/>
        </w:rPr>
      </w:pPr>
    </w:p>
    <w:p w14:paraId="12C3DF24" w14:textId="77777777" w:rsidR="00A25A0A" w:rsidRDefault="00A25A0A" w:rsidP="00A25A0A">
      <w:pPr>
        <w:rPr>
          <w:rFonts w:asciiTheme="majorBidi" w:hAnsiTheme="majorBidi" w:cstheme="majorBidi"/>
          <w:sz w:val="24"/>
          <w:szCs w:val="24"/>
        </w:rPr>
      </w:pPr>
    </w:p>
    <w:p w14:paraId="5713FAE1" w14:textId="77777777" w:rsidR="00A25A0A" w:rsidRDefault="00A25A0A" w:rsidP="00A25A0A">
      <w:pPr>
        <w:rPr>
          <w:rFonts w:asciiTheme="majorBidi" w:hAnsiTheme="majorBidi" w:cstheme="majorBidi"/>
          <w:sz w:val="24"/>
          <w:szCs w:val="24"/>
        </w:rPr>
      </w:pPr>
    </w:p>
    <w:p w14:paraId="0B7B57EC" w14:textId="77777777" w:rsidR="00A25A0A" w:rsidRDefault="00A25A0A" w:rsidP="00A25A0A">
      <w:pPr>
        <w:rPr>
          <w:rFonts w:asciiTheme="majorBidi" w:hAnsiTheme="majorBidi" w:cstheme="majorBidi"/>
          <w:sz w:val="24"/>
          <w:szCs w:val="24"/>
        </w:rPr>
      </w:pPr>
    </w:p>
    <w:p w14:paraId="180CBD59" w14:textId="77777777" w:rsidR="00A25A0A" w:rsidRDefault="00A25A0A" w:rsidP="00A25A0A">
      <w:pPr>
        <w:rPr>
          <w:rFonts w:asciiTheme="majorBidi" w:hAnsiTheme="majorBidi" w:cstheme="majorBidi"/>
          <w:sz w:val="24"/>
          <w:szCs w:val="24"/>
        </w:rPr>
      </w:pPr>
    </w:p>
    <w:p w14:paraId="1D5282F1" w14:textId="77777777" w:rsidR="00A25A0A" w:rsidRDefault="00A25A0A" w:rsidP="00A25A0A">
      <w:pPr>
        <w:rPr>
          <w:rFonts w:asciiTheme="majorBidi" w:hAnsiTheme="majorBidi" w:cstheme="majorBidi"/>
          <w:sz w:val="24"/>
          <w:szCs w:val="24"/>
        </w:rPr>
      </w:pPr>
    </w:p>
    <w:p w14:paraId="2CA26E66" w14:textId="77777777" w:rsidR="00A25A0A" w:rsidRDefault="00A25A0A" w:rsidP="00A25A0A">
      <w:pPr>
        <w:rPr>
          <w:rFonts w:asciiTheme="majorBidi" w:hAnsiTheme="majorBidi" w:cstheme="majorBidi"/>
          <w:sz w:val="24"/>
          <w:szCs w:val="24"/>
        </w:rPr>
      </w:pPr>
    </w:p>
    <w:p w14:paraId="2AC75FA4" w14:textId="77777777" w:rsidR="00A25A0A" w:rsidRDefault="00A25A0A" w:rsidP="00A25A0A">
      <w:pPr>
        <w:rPr>
          <w:rFonts w:asciiTheme="majorBidi" w:hAnsiTheme="majorBidi" w:cstheme="majorBidi"/>
          <w:sz w:val="24"/>
          <w:szCs w:val="24"/>
        </w:rPr>
      </w:pPr>
    </w:p>
    <w:p w14:paraId="2D53D8C5" w14:textId="77777777" w:rsidR="00A25A0A" w:rsidRDefault="00A25A0A" w:rsidP="00A25A0A">
      <w:pPr>
        <w:rPr>
          <w:rFonts w:asciiTheme="majorBidi" w:hAnsiTheme="majorBidi" w:cstheme="majorBidi"/>
          <w:sz w:val="24"/>
          <w:szCs w:val="24"/>
        </w:rPr>
      </w:pPr>
    </w:p>
    <w:p w14:paraId="67C80F62" w14:textId="77777777" w:rsidR="00A25A0A" w:rsidRDefault="00A25A0A" w:rsidP="00A25A0A">
      <w:pPr>
        <w:rPr>
          <w:rFonts w:asciiTheme="majorBidi" w:hAnsiTheme="majorBidi" w:cstheme="majorBidi"/>
          <w:sz w:val="24"/>
          <w:szCs w:val="24"/>
        </w:rPr>
      </w:pPr>
    </w:p>
    <w:p w14:paraId="1FD84060" w14:textId="01031878" w:rsidR="003B65DC" w:rsidRPr="003B65DC" w:rsidRDefault="003B65DC" w:rsidP="00A25A0A">
      <w:pPr>
        <w:jc w:val="center"/>
        <w:rPr>
          <w:rFonts w:asciiTheme="majorBidi" w:hAnsiTheme="majorBidi" w:cstheme="majorBidi"/>
          <w:sz w:val="24"/>
          <w:szCs w:val="24"/>
        </w:rPr>
      </w:pPr>
      <w:r w:rsidRPr="002862F3">
        <w:rPr>
          <w:sz w:val="24"/>
          <w:szCs w:val="24"/>
        </w:rPr>
        <w:t>Figure 1. Heart Rate Responses During a 6-Minute Cycle Ergometer Exercise According to ACE Gene Polymorphism After a 3-Month Fartlek Training Program</w:t>
      </w:r>
    </w:p>
    <w:sectPr w:rsidR="003B65DC" w:rsidRPr="003B65DC" w:rsidSect="00D050FB">
      <w:headerReference w:type="even" r:id="rId45"/>
      <w:headerReference w:type="default" r:id="rId46"/>
      <w:footerReference w:type="even" r:id="rId47"/>
      <w:footerReference w:type="default" r:id="rId48"/>
      <w:headerReference w:type="first" r:id="rId49"/>
      <w:footerReference w:type="first" r:id="rId50"/>
      <w:pgSz w:w="11907" w:h="16840" w:code="9"/>
      <w:pgMar w:top="1582" w:right="1412" w:bottom="1412" w:left="1582" w:header="1140" w:footer="204" w:gutter="0"/>
      <w:pgNumType w:start="122"/>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4B526" w14:textId="77777777" w:rsidR="003A01C5" w:rsidRDefault="003A01C5">
      <w:r>
        <w:separator/>
      </w:r>
    </w:p>
  </w:endnote>
  <w:endnote w:type="continuationSeparator" w:id="0">
    <w:p w14:paraId="6C532DE0" w14:textId="77777777" w:rsidR="003A01C5" w:rsidRDefault="003A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scadia Mono SemiBold">
    <w:panose1 w:val="020B0609020000020004"/>
    <w:charset w:val="00"/>
    <w:family w:val="modern"/>
    <w:pitch w:val="fixed"/>
    <w:sig w:usb0="A1002AFF" w:usb1="C200F9FB" w:usb2="0004002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2BC2" w14:textId="6EE77C02" w:rsidR="00097958" w:rsidRPr="003D5B84" w:rsidRDefault="00097958" w:rsidP="00C07BEF">
    <w:pPr>
      <w:pStyle w:val="Header"/>
      <w:tabs>
        <w:tab w:val="clear" w:pos="4320"/>
        <w:tab w:val="clear" w:pos="8640"/>
        <w:tab w:val="left" w:pos="2992"/>
      </w:tabs>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5D22" w14:textId="6719B1EF" w:rsidR="00247217" w:rsidRPr="00F911B5" w:rsidRDefault="004B18D3" w:rsidP="00F911B5">
    <w:pPr>
      <w:pStyle w:val="Footer"/>
      <w:jc w:val="center"/>
      <w:rPr>
        <w:b/>
        <w:bCs/>
      </w:rPr>
    </w:pPr>
    <w:r w:rsidRPr="00F911B5">
      <w:rPr>
        <w:rFonts w:ascii="Segoe UI Emoji" w:hAnsi="Segoe UI Emoji" w:cs="Segoe UI Emoji"/>
      </w:rPr>
      <w:t>🌐</w:t>
    </w:r>
    <w:r w:rsidRPr="00F911B5">
      <w:rPr>
        <w:rFonts w:asciiTheme="majorBidi" w:hAnsiTheme="majorBidi" w:cstheme="majorBidi"/>
      </w:rPr>
      <w:t xml:space="preserve"> </w:t>
    </w:r>
    <w:hyperlink r:id="rId1" w:history="1">
      <w:r w:rsidRPr="00F911B5">
        <w:rPr>
          <w:rStyle w:val="Hyperlink"/>
          <w:rFonts w:asciiTheme="majorBidi" w:hAnsiTheme="majorBidi" w:cstheme="majorBidi"/>
        </w:rPr>
        <w:t>https://gjses.org</w:t>
      </w:r>
    </w:hyperlink>
    <w:r w:rsidRPr="00F911B5">
      <w:rPr>
        <w:rFonts w:asciiTheme="majorBidi" w:hAnsiTheme="majorBidi" w:cstheme="majorBidi"/>
        <w:b/>
        <w:bCs/>
      </w:rPr>
      <w:t xml:space="preserve">          </w:t>
    </w:r>
    <w:r w:rsidR="002E0A72" w:rsidRPr="00F911B5">
      <w:rPr>
        <w:rFonts w:asciiTheme="majorBidi" w:hAnsiTheme="majorBidi" w:cstheme="majorBidi"/>
        <w:b/>
        <w:bCs/>
        <w:color w:val="0070C0"/>
      </w:rPr>
      <w:t>GJSES</w:t>
    </w:r>
    <w:r w:rsidRPr="00F911B5">
      <w:rPr>
        <w:rFonts w:asciiTheme="majorBidi" w:hAnsiTheme="majorBidi" w:cstheme="majorBidi"/>
        <w:b/>
        <w:bCs/>
        <w:color w:val="0070C0"/>
      </w:rPr>
      <w:t xml:space="preserve">    </w:t>
    </w:r>
    <w:r w:rsidR="00247217" w:rsidRPr="00F911B5">
      <w:rPr>
        <w:b/>
        <w:bCs/>
      </w:rPr>
      <w:t xml:space="preserve">Volume: </w:t>
    </w:r>
    <w:r w:rsidR="00C04DE0">
      <w:rPr>
        <w:b/>
        <w:bCs/>
      </w:rPr>
      <w:t>2</w:t>
    </w:r>
    <w:r w:rsidR="00247217" w:rsidRPr="00F911B5">
      <w:rPr>
        <w:b/>
        <w:bCs/>
      </w:rPr>
      <w:t> </w:t>
    </w:r>
    <w:r w:rsidR="00247217" w:rsidRPr="00F911B5">
      <w:rPr>
        <w:b/>
        <w:bCs/>
      </w:rPr>
      <w:t>|</w:t>
    </w:r>
    <w:r w:rsidR="00247217" w:rsidRPr="00F911B5">
      <w:rPr>
        <w:b/>
        <w:bCs/>
      </w:rPr>
      <w:t> </w:t>
    </w:r>
    <w:r w:rsidR="00070092" w:rsidRPr="00F911B5">
      <w:rPr>
        <w:b/>
        <w:bCs/>
      </w:rPr>
      <w:t>Number</w:t>
    </w:r>
    <w:r w:rsidR="00247217" w:rsidRPr="00F911B5">
      <w:rPr>
        <w:b/>
        <w:bCs/>
      </w:rPr>
      <w:t xml:space="preserve">: </w:t>
    </w:r>
    <w:r w:rsidR="00C04DE0">
      <w:rPr>
        <w:b/>
        <w:bCs/>
      </w:rPr>
      <w:t>1</w:t>
    </w:r>
    <w:r w:rsidR="00247217" w:rsidRPr="00F911B5">
      <w:rPr>
        <w:b/>
        <w:bCs/>
      </w:rPr>
      <w:t> </w:t>
    </w:r>
    <w:r w:rsidR="00247217" w:rsidRPr="00F911B5">
      <w:rPr>
        <w:b/>
        <w:bCs/>
      </w:rPr>
      <w:t>|</w:t>
    </w:r>
    <w:r w:rsidR="00247217" w:rsidRPr="00F911B5">
      <w:rPr>
        <w:b/>
        <w:bCs/>
      </w:rPr>
      <w:t> </w:t>
    </w:r>
    <w:r w:rsidR="00F911B5" w:rsidRPr="00F911B5">
      <w:rPr>
        <w:b/>
        <w:bCs/>
      </w:rPr>
      <w:t>3</w:t>
    </w:r>
    <w:r w:rsidR="00516AC7">
      <w:rPr>
        <w:b/>
        <w:bCs/>
      </w:rPr>
      <w:t>1</w:t>
    </w:r>
    <w:r w:rsidR="00F911B5" w:rsidRPr="00F911B5">
      <w:rPr>
        <w:b/>
        <w:bCs/>
      </w:rPr>
      <w:t xml:space="preserve"> </w:t>
    </w:r>
    <w:r w:rsidR="00C04DE0">
      <w:rPr>
        <w:b/>
        <w:bCs/>
      </w:rPr>
      <w:t>March</w:t>
    </w:r>
    <w:r w:rsidR="00247217" w:rsidRPr="00F911B5">
      <w:rPr>
        <w:b/>
        <w:bCs/>
      </w:rPr>
      <w:t>, 202</w:t>
    </w:r>
    <w:r w:rsidR="00C04DE0">
      <w:rPr>
        <w:b/>
        <w:bCs/>
      </w:rPr>
      <w:t>6</w:t>
    </w:r>
    <w:r w:rsidR="00247217" w:rsidRPr="00F911B5">
      <w:rPr>
        <w:b/>
        <w:bCs/>
      </w:rPr>
      <w:t xml:space="preserve">    </w:t>
    </w:r>
    <w:r w:rsidR="00516AC7">
      <w:rPr>
        <w:b/>
        <w:bCs/>
      </w:rPr>
      <w:t xml:space="preserve"> </w:t>
    </w:r>
    <w:r w:rsidR="00247217" w:rsidRPr="00F911B5">
      <w:rPr>
        <w:b/>
        <w:bCs/>
      </w:rPr>
      <w:t xml:space="preserve">  </w:t>
    </w:r>
    <w:r w:rsidR="00516AC7">
      <w:rPr>
        <w:b/>
        <w:bCs/>
      </w:rPr>
      <w:t xml:space="preserve">                   </w:t>
    </w:r>
    <w:r w:rsidR="00247217" w:rsidRPr="00F911B5">
      <w:rPr>
        <w:b/>
        <w:bCs/>
      </w:rPr>
      <w:t xml:space="preserve"> </w:t>
    </w:r>
    <w:sdt>
      <w:sdtPr>
        <w:rPr>
          <w:b/>
          <w:bCs/>
        </w:rPr>
        <w:id w:val="1170219022"/>
        <w:docPartObj>
          <w:docPartGallery w:val="Page Numbers (Bottom of Page)"/>
          <w:docPartUnique/>
        </w:docPartObj>
      </w:sdtPr>
      <w:sdtEndPr>
        <w:rPr>
          <w:noProof/>
        </w:rPr>
      </w:sdtEndPr>
      <w:sdtContent>
        <w:r w:rsidR="00247217" w:rsidRPr="00F911B5">
          <w:rPr>
            <w:b/>
            <w:bCs/>
          </w:rPr>
          <w:fldChar w:fldCharType="begin"/>
        </w:r>
        <w:r w:rsidR="00247217" w:rsidRPr="00F911B5">
          <w:rPr>
            <w:b/>
            <w:bCs/>
          </w:rPr>
          <w:instrText xml:space="preserve"> PAGE   \* MERGEFORMAT </w:instrText>
        </w:r>
        <w:r w:rsidR="00247217" w:rsidRPr="00F911B5">
          <w:rPr>
            <w:b/>
            <w:bCs/>
          </w:rPr>
          <w:fldChar w:fldCharType="separate"/>
        </w:r>
        <w:r w:rsidR="00247217" w:rsidRPr="00F911B5">
          <w:rPr>
            <w:b/>
            <w:bCs/>
            <w:noProof/>
          </w:rPr>
          <w:t>2</w:t>
        </w:r>
        <w:r w:rsidR="00247217" w:rsidRPr="00F911B5">
          <w:rPr>
            <w:b/>
            <w:bCs/>
            <w:noProof/>
          </w:rPr>
          <w:fldChar w:fldCharType="end"/>
        </w:r>
      </w:sdtContent>
    </w:sdt>
  </w:p>
  <w:p w14:paraId="651A3C76" w14:textId="77777777" w:rsidR="000665D4" w:rsidRDefault="00066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826B" w14:textId="07AE599E" w:rsidR="00904784" w:rsidRPr="00247217" w:rsidRDefault="004B18D3" w:rsidP="00206EF6">
    <w:pPr>
      <w:pStyle w:val="Footer"/>
      <w:rPr>
        <w:b/>
        <w:bCs/>
      </w:rPr>
    </w:pPr>
    <w:r>
      <w:rPr>
        <w:b/>
        <w:bCs/>
      </w:rPr>
      <w:t xml:space="preserve">  </w:t>
    </w:r>
    <w:r w:rsidRPr="004B18D3">
      <w:rPr>
        <w:rFonts w:ascii="Segoe UI Emoji" w:hAnsi="Segoe UI Emoji" w:cs="Segoe UI Emoji"/>
        <w:sz w:val="24"/>
        <w:szCs w:val="24"/>
      </w:rPr>
      <w:t>🌐</w:t>
    </w:r>
    <w:r w:rsidRPr="004B18D3">
      <w:rPr>
        <w:rFonts w:asciiTheme="majorBidi" w:hAnsiTheme="majorBidi" w:cstheme="majorBidi"/>
        <w:sz w:val="24"/>
        <w:szCs w:val="24"/>
      </w:rPr>
      <w:t xml:space="preserve"> </w:t>
    </w:r>
    <w:hyperlink r:id="rId1" w:history="1">
      <w:r w:rsidRPr="004B18D3">
        <w:rPr>
          <w:rStyle w:val="Hyperlink"/>
          <w:rFonts w:asciiTheme="majorBidi" w:hAnsiTheme="majorBidi" w:cstheme="majorBidi"/>
          <w:sz w:val="24"/>
          <w:szCs w:val="24"/>
        </w:rPr>
        <w:t>https://gjses.org</w:t>
      </w:r>
    </w:hyperlink>
    <w:r>
      <w:rPr>
        <w:rFonts w:asciiTheme="majorBidi" w:hAnsiTheme="majorBidi" w:cstheme="majorBidi"/>
        <w:sz w:val="24"/>
        <w:szCs w:val="24"/>
      </w:rPr>
      <w:t xml:space="preserve">                                  </w:t>
    </w:r>
    <w:r w:rsidR="00C62978" w:rsidRPr="002E0A72">
      <w:rPr>
        <w:rFonts w:asciiTheme="majorBidi" w:hAnsiTheme="majorBidi" w:cstheme="majorBidi"/>
        <w:b/>
        <w:bCs/>
        <w:color w:val="0070C0"/>
        <w:sz w:val="24"/>
        <w:szCs w:val="24"/>
      </w:rPr>
      <w:t xml:space="preserve">GJSES     </w:t>
    </w:r>
    <w:r>
      <w:rPr>
        <w:rFonts w:asciiTheme="majorBidi" w:hAnsiTheme="majorBidi" w:cstheme="majorBidi"/>
        <w:sz w:val="24"/>
        <w:szCs w:val="24"/>
      </w:rPr>
      <w:t xml:space="preserve">                                                         </w:t>
    </w:r>
    <w:sdt>
      <w:sdtPr>
        <w:rPr>
          <w:b/>
          <w:bCs/>
        </w:rPr>
        <w:id w:val="1743220353"/>
        <w:docPartObj>
          <w:docPartGallery w:val="Page Numbers (Bottom of Page)"/>
          <w:docPartUnique/>
        </w:docPartObj>
      </w:sdtPr>
      <w:sdtEndPr>
        <w:rPr>
          <w:noProof/>
        </w:rPr>
      </w:sdtEndPr>
      <w:sdtContent>
        <w:r w:rsidR="00904784" w:rsidRPr="00247217">
          <w:rPr>
            <w:b/>
            <w:bCs/>
          </w:rPr>
          <w:fldChar w:fldCharType="begin"/>
        </w:r>
        <w:r w:rsidR="00904784" w:rsidRPr="00247217">
          <w:rPr>
            <w:b/>
            <w:bCs/>
          </w:rPr>
          <w:instrText xml:space="preserve"> PAGE   \* MERGEFORMAT </w:instrText>
        </w:r>
        <w:r w:rsidR="00904784" w:rsidRPr="00247217">
          <w:rPr>
            <w:b/>
            <w:bCs/>
          </w:rPr>
          <w:fldChar w:fldCharType="separate"/>
        </w:r>
        <w:r w:rsidR="00904784" w:rsidRPr="00247217">
          <w:rPr>
            <w:b/>
            <w:bCs/>
            <w:noProof/>
          </w:rPr>
          <w:t>2</w:t>
        </w:r>
        <w:r w:rsidR="00904784" w:rsidRPr="00247217">
          <w:rPr>
            <w:b/>
            <w:bCs/>
            <w:noProof/>
          </w:rPr>
          <w:fldChar w:fldCharType="end"/>
        </w:r>
      </w:sdtContent>
    </w:sdt>
  </w:p>
  <w:p w14:paraId="29D1DD03" w14:textId="053659FC" w:rsidR="00097958" w:rsidRPr="003D5B84" w:rsidRDefault="00097958" w:rsidP="00453F49">
    <w:pPr>
      <w:pStyle w:val="Footer"/>
      <w:spacing w:before="240"/>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8D52" w14:textId="77777777" w:rsidR="003A01C5" w:rsidRDefault="003A01C5">
      <w:r>
        <w:separator/>
      </w:r>
    </w:p>
  </w:footnote>
  <w:footnote w:type="continuationSeparator" w:id="0">
    <w:p w14:paraId="0CE92E96" w14:textId="77777777" w:rsidR="003A01C5" w:rsidRDefault="003A0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0106" w14:textId="7CEC18FE"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6704" behindDoc="0" locked="0" layoutInCell="1" allowOverlap="1" wp14:anchorId="36240665" wp14:editId="644F9C43">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1F2F3"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E7146A" w:rsidRPr="00E7146A">
      <w:t>3007-7508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A5C5" w14:textId="79E7FBB4" w:rsidR="00247217" w:rsidRDefault="00247217" w:rsidP="000B3895">
    <w:pPr>
      <w:pStyle w:val="Header"/>
      <w:tabs>
        <w:tab w:val="clear" w:pos="8640"/>
        <w:tab w:val="left" w:pos="0"/>
        <w:tab w:val="left" w:pos="7938"/>
      </w:tabs>
      <w:rPr>
        <w:rStyle w:val="Hyperlink"/>
        <w:sz w:val="16"/>
        <w:szCs w:val="16"/>
      </w:rPr>
    </w:pPr>
    <w:r w:rsidRPr="002A7A72">
      <w:rPr>
        <w:rFonts w:asciiTheme="majorBidi" w:hAnsiTheme="majorBidi" w:cstheme="majorBidi"/>
        <w:b/>
        <w:bCs/>
        <w:color w:val="227ACB"/>
        <w:sz w:val="16"/>
        <w:szCs w:val="16"/>
      </w:rPr>
      <w:t>The Global Journal of Sport and Exercise Science (</w:t>
    </w:r>
    <w:proofErr w:type="gramStart"/>
    <w:r w:rsidR="002E0A72" w:rsidRPr="002A7A72">
      <w:rPr>
        <w:rFonts w:asciiTheme="majorBidi" w:hAnsiTheme="majorBidi" w:cstheme="majorBidi"/>
        <w:b/>
        <w:bCs/>
        <w:color w:val="227ACB"/>
        <w:sz w:val="16"/>
        <w:szCs w:val="16"/>
      </w:rPr>
      <w:t>GJSES)</w:t>
    </w:r>
    <w:r w:rsidR="002A7A72" w:rsidRPr="002A7A72">
      <w:rPr>
        <w:rFonts w:asciiTheme="majorBidi" w:hAnsiTheme="majorBidi" w:cstheme="majorBidi"/>
        <w:b/>
        <w:bCs/>
        <w:color w:val="227ACB"/>
        <w:sz w:val="16"/>
        <w:szCs w:val="16"/>
      </w:rPr>
      <w:t xml:space="preserve"> </w:t>
    </w:r>
    <w:r w:rsidR="000B3895">
      <w:rPr>
        <w:rFonts w:asciiTheme="majorBidi" w:hAnsiTheme="majorBidi" w:cstheme="majorBidi"/>
        <w:b/>
        <w:bCs/>
        <w:color w:val="227ACB"/>
        <w:sz w:val="16"/>
        <w:szCs w:val="16"/>
      </w:rPr>
      <w:t xml:space="preserve">  </w:t>
    </w:r>
    <w:proofErr w:type="gramEnd"/>
    <w:r w:rsidR="000B3895">
      <w:rPr>
        <w:rFonts w:asciiTheme="majorBidi" w:hAnsiTheme="majorBidi" w:cstheme="majorBidi"/>
        <w:b/>
        <w:bCs/>
        <w:color w:val="227ACB"/>
        <w:sz w:val="16"/>
        <w:szCs w:val="16"/>
      </w:rPr>
      <w:t xml:space="preserve"> </w:t>
    </w:r>
    <w:r w:rsidR="002A7A72" w:rsidRPr="002A7A72">
      <w:rPr>
        <w:rFonts w:asciiTheme="majorBidi" w:hAnsiTheme="majorBidi" w:cstheme="majorBidi"/>
        <w:b/>
        <w:bCs/>
        <w:color w:val="227ACB"/>
        <w:sz w:val="16"/>
        <w:szCs w:val="16"/>
      </w:rPr>
      <w:t xml:space="preserve"> </w:t>
    </w:r>
    <w:r w:rsidRPr="002A7A72">
      <w:rPr>
        <w:rFonts w:asciiTheme="majorBidi" w:hAnsiTheme="majorBidi" w:cstheme="majorBidi"/>
        <w:b/>
        <w:bCs/>
        <w:sz w:val="16"/>
        <w:szCs w:val="16"/>
      </w:rPr>
      <w:t>ISSN</w:t>
    </w:r>
    <w:r w:rsidR="00516AC7">
      <w:rPr>
        <w:rFonts w:asciiTheme="majorBidi" w:hAnsiTheme="majorBidi" w:cstheme="majorBidi"/>
        <w:b/>
        <w:bCs/>
        <w:sz w:val="16"/>
        <w:szCs w:val="16"/>
      </w:rPr>
      <w:t xml:space="preserve"> (Print)</w:t>
    </w:r>
    <w:r w:rsidRPr="002A7A72">
      <w:rPr>
        <w:rFonts w:asciiTheme="majorBidi" w:hAnsiTheme="majorBidi" w:cstheme="majorBidi"/>
        <w:b/>
        <w:bCs/>
        <w:sz w:val="16"/>
        <w:szCs w:val="16"/>
      </w:rPr>
      <w:t>: 3080-0307</w:t>
    </w:r>
    <w:r w:rsidR="004B18D3" w:rsidRPr="002A7A72">
      <w:rPr>
        <w:rFonts w:asciiTheme="majorBidi" w:hAnsiTheme="majorBidi" w:cstheme="majorBidi"/>
        <w:b/>
        <w:bCs/>
        <w:sz w:val="16"/>
        <w:szCs w:val="16"/>
      </w:rPr>
      <w:t xml:space="preserve"> </w:t>
    </w:r>
    <w:r w:rsidR="000B3895">
      <w:rPr>
        <w:rFonts w:asciiTheme="majorBidi" w:hAnsiTheme="majorBidi" w:cstheme="majorBidi"/>
        <w:b/>
        <w:bCs/>
        <w:sz w:val="16"/>
        <w:szCs w:val="16"/>
      </w:rPr>
      <w:t xml:space="preserve">  </w:t>
    </w:r>
    <w:r w:rsidR="0040363F">
      <w:rPr>
        <w:rFonts w:asciiTheme="majorBidi" w:hAnsiTheme="majorBidi" w:cstheme="majorBidi"/>
        <w:b/>
        <w:bCs/>
        <w:sz w:val="16"/>
        <w:szCs w:val="16"/>
      </w:rPr>
      <w:t xml:space="preserve">  </w:t>
    </w:r>
    <w:r w:rsidR="002A7A72">
      <w:rPr>
        <w:rFonts w:asciiTheme="majorBidi" w:hAnsiTheme="majorBidi" w:cstheme="majorBidi"/>
        <w:b/>
        <w:bCs/>
        <w:sz w:val="16"/>
        <w:szCs w:val="16"/>
      </w:rPr>
      <w:t xml:space="preserve"> </w:t>
    </w:r>
    <w:r w:rsidR="004B18D3" w:rsidRPr="002A7A72">
      <w:rPr>
        <w:rFonts w:asciiTheme="majorBidi" w:hAnsiTheme="majorBidi" w:cstheme="majorBidi"/>
        <w:b/>
        <w:bCs/>
        <w:color w:val="227ACB"/>
        <w:sz w:val="16"/>
        <w:szCs w:val="16"/>
      </w:rPr>
      <w:t>DOI</w:t>
    </w:r>
    <w:r w:rsidR="000B3895">
      <w:rPr>
        <w:rFonts w:asciiTheme="majorBidi" w:hAnsiTheme="majorBidi" w:cstheme="majorBidi"/>
        <w:b/>
        <w:bCs/>
        <w:color w:val="227ACB"/>
        <w:sz w:val="16"/>
        <w:szCs w:val="16"/>
      </w:rPr>
      <w:t>:</w:t>
    </w:r>
    <w:r w:rsidR="004B18D3" w:rsidRPr="002A7A72">
      <w:rPr>
        <w:rFonts w:asciiTheme="majorBidi" w:hAnsiTheme="majorBidi" w:cstheme="majorBidi"/>
        <w:b/>
        <w:bCs/>
        <w:color w:val="227ACB"/>
        <w:sz w:val="16"/>
        <w:szCs w:val="16"/>
      </w:rPr>
      <w:t xml:space="preserve"> </w:t>
    </w:r>
    <w:hyperlink r:id="rId1" w:history="1">
      <w:r w:rsidR="00645B47" w:rsidRPr="00BD1915">
        <w:rPr>
          <w:rStyle w:val="Hyperlink"/>
          <w:rFonts w:asciiTheme="majorBidi" w:hAnsiTheme="majorBidi" w:cstheme="majorBidi"/>
          <w:b/>
          <w:bCs/>
          <w:sz w:val="16"/>
          <w:szCs w:val="16"/>
        </w:rPr>
        <w:t>https://doi.org/</w:t>
      </w:r>
      <w:r w:rsidR="00645B47" w:rsidRPr="00BD1915">
        <w:rPr>
          <w:rStyle w:val="Hyperlink"/>
          <w:sz w:val="16"/>
          <w:szCs w:val="16"/>
        </w:rPr>
        <w:t>10.63750/</w:t>
      </w:r>
      <w:r w:rsidR="000B3F26" w:rsidRPr="000B3F26">
        <w:rPr>
          <w:rStyle w:val="Hyperlink"/>
          <w:sz w:val="16"/>
          <w:szCs w:val="16"/>
        </w:rPr>
        <w:t>cxm5em66</w:t>
      </w:r>
    </w:hyperlink>
  </w:p>
  <w:p w14:paraId="74309D49" w14:textId="3DE75BB1" w:rsidR="00516AC7" w:rsidRPr="00FA3C92" w:rsidRDefault="00516AC7" w:rsidP="00516AC7">
    <w:pPr>
      <w:pStyle w:val="Header"/>
      <w:tabs>
        <w:tab w:val="clear" w:pos="8640"/>
        <w:tab w:val="left" w:pos="0"/>
        <w:tab w:val="left" w:pos="7938"/>
      </w:tabs>
      <w:rPr>
        <w:rStyle w:val="Hyperlink"/>
      </w:rPr>
    </w:pPr>
    <w:r w:rsidRPr="00516AC7">
      <w:rPr>
        <w:rStyle w:val="Hyperlink"/>
        <w:sz w:val="16"/>
        <w:szCs w:val="16"/>
        <w:u w:val="none"/>
      </w:rPr>
      <w:t xml:space="preserve">                                                                                                          </w:t>
    </w:r>
    <w:r w:rsidRPr="002A7A72">
      <w:rPr>
        <w:rFonts w:asciiTheme="majorBidi" w:hAnsiTheme="majorBidi" w:cstheme="majorBidi"/>
        <w:b/>
        <w:bCs/>
        <w:sz w:val="16"/>
        <w:szCs w:val="16"/>
      </w:rPr>
      <w:t>ISSN</w:t>
    </w:r>
    <w:r>
      <w:rPr>
        <w:rFonts w:asciiTheme="majorBidi" w:hAnsiTheme="majorBidi" w:cstheme="majorBidi"/>
        <w:b/>
        <w:bCs/>
        <w:sz w:val="16"/>
        <w:szCs w:val="16"/>
      </w:rPr>
      <w:t xml:space="preserve"> (Online)</w:t>
    </w:r>
    <w:r w:rsidRPr="002A7A72">
      <w:rPr>
        <w:rFonts w:asciiTheme="majorBidi" w:hAnsiTheme="majorBidi" w:cstheme="majorBidi"/>
        <w:b/>
        <w:bCs/>
        <w:sz w:val="16"/>
        <w:szCs w:val="16"/>
      </w:rPr>
      <w:t xml:space="preserve">: </w:t>
    </w:r>
    <w:r w:rsidRPr="00516AC7">
      <w:rPr>
        <w:rFonts w:asciiTheme="majorBidi" w:hAnsiTheme="majorBidi" w:cstheme="majorBidi"/>
        <w:b/>
        <w:bCs/>
        <w:sz w:val="16"/>
        <w:szCs w:val="16"/>
      </w:rPr>
      <w:t>3107-037X</w:t>
    </w:r>
    <w:r>
      <w:rPr>
        <w:rStyle w:val="Hyperlink"/>
        <w:sz w:val="16"/>
        <w:szCs w:val="16"/>
      </w:rPr>
      <w:t xml:space="preserve"> </w:t>
    </w:r>
  </w:p>
  <w:p w14:paraId="3BE6E7DA" w14:textId="7CB50A32" w:rsidR="00097958" w:rsidRPr="002A7A72" w:rsidRDefault="00222701" w:rsidP="0094367D">
    <w:pPr>
      <w:pStyle w:val="Header"/>
      <w:ind w:right="360" w:firstLine="360"/>
      <w:rPr>
        <w:b/>
        <w:bCs/>
      </w:rPr>
    </w:pPr>
    <w:r w:rsidRPr="002A7A72">
      <w:rPr>
        <w:b/>
        <w:bCs/>
        <w:noProof/>
      </w:rPr>
      <mc:AlternateContent>
        <mc:Choice Requires="wps">
          <w:drawing>
            <wp:anchor distT="0" distB="0" distL="114300" distR="114300" simplePos="0" relativeHeight="251657728" behindDoc="0" locked="0" layoutInCell="1" allowOverlap="1" wp14:anchorId="485510DB" wp14:editId="5D2AA382">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4BB34"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719C" w14:textId="3935260B" w:rsidR="004C1267" w:rsidRPr="00904784" w:rsidRDefault="0022306A" w:rsidP="004C1267">
    <w:pPr>
      <w:pStyle w:val="Header"/>
      <w:rPr>
        <w:rFonts w:asciiTheme="majorBidi" w:hAnsiTheme="majorBidi" w:cstheme="majorBidi"/>
        <w:b/>
        <w:bCs/>
        <w:color w:val="227ACB"/>
        <w:sz w:val="22"/>
        <w:szCs w:val="22"/>
      </w:rPr>
    </w:pPr>
    <w:r>
      <w:rPr>
        <w:rFonts w:asciiTheme="majorBidi" w:hAnsiTheme="majorBidi" w:cstheme="majorBidi"/>
        <w:noProof/>
      </w:rPr>
      <mc:AlternateContent>
        <mc:Choice Requires="wps">
          <w:drawing>
            <wp:anchor distT="0" distB="0" distL="114300" distR="114300" simplePos="0" relativeHeight="251724288" behindDoc="1" locked="0" layoutInCell="1" allowOverlap="1" wp14:anchorId="6A9DFB23" wp14:editId="7035B1A0">
              <wp:simplePos x="0" y="0"/>
              <wp:positionH relativeFrom="column">
                <wp:posOffset>5402580</wp:posOffset>
              </wp:positionH>
              <wp:positionV relativeFrom="paragraph">
                <wp:posOffset>-130175</wp:posOffset>
              </wp:positionV>
              <wp:extent cx="800100" cy="982980"/>
              <wp:effectExtent l="0" t="0" r="0" b="7620"/>
              <wp:wrapNone/>
              <wp:docPr id="479429461" name="Rectangle 15"/>
              <wp:cNvGraphicFramePr/>
              <a:graphic xmlns:a="http://schemas.openxmlformats.org/drawingml/2006/main">
                <a:graphicData uri="http://schemas.microsoft.com/office/word/2010/wordprocessingShape">
                  <wps:wsp>
                    <wps:cNvSpPr/>
                    <wps:spPr>
                      <a:xfrm>
                        <a:off x="0" y="0"/>
                        <a:ext cx="800100" cy="982980"/>
                      </a:xfrm>
                      <a:prstGeom prst="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path path="circle">
                          <a:fillToRect l="100000" b="100000"/>
                        </a:path>
                        <a:tileRect t="-100000" r="-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DA12C" id="Rectangle 15" o:spid="_x0000_s1026" style="position:absolute;margin-left:425.4pt;margin-top:-10.25pt;width:63pt;height:77.4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Xc/AIAABsHAAAOAAAAZHJzL2Uyb0RvYy54bWysVVtP2zAUfp+0/2D5HZJ2XEpFijpQp0kM&#10;EDDx7DpOY8mxPdu9sF+/z07SdgxNDK0Prn3u5zuXnF9sGkVWwnlpdEEHhzklQnNTSr0o6PfH2cGI&#10;Eh+YLpkyWhT0WXh6Mfn44Xxtx2JoaqNK4QiMaD9e24LWIdhxlnlei4b5Q2OFBrMyrmEBT7fISsfW&#10;sN6obJjnJ9nauNI6w4X3oF61TDpJ9qtK8HBbVV4EogqK2EI6XTrn8cwm52y8cMzWkndhsHdE0TCp&#10;4XRr6ooFRpZO/mGqkdwZb6pwyE2TmaqSXKQckM0gf5HNQ82sSLkAHG+3MPn/Z5bfrB7snQMMa+vH&#10;HteYxaZyTfxHfGSTwHregiU2gXAQRzkCBqQcrLPR8GyUwMx2ytb58EWYhsRLQR1qkSBiq2sf4BCi&#10;vUiHXDmTSpFKSTSCRrtQ4kx4kqFOQKC9Wog99JOGJ9YAizyRvVvML5UjKxZLnX/OZx29ZqVoqZ9y&#10;/NqSexa+mbIlDwbHHR0hdWZSeAu/7yYKvdnVySnE3+0KwP6Dr046tfKb80Kqix5Iy0JN4lFQLh1X&#10;sefYuEIxHs09yhaHp3NCMDU7f7GEUIvSQSqRZFHqg14Yg9bf24Jj0lKRo4bS8dQmFr3lRkq268N0&#10;C89KtNL3oiKyROcN23rHFSG2FWecCx3aDvG7kv9W2l4jFVdpGIyWY55b252BXrJtkN52G2UnH1VF&#10;2jBb5a47/qa81UiejQ5b5UZq417LTCGrznMr34PUQhNRmpvy+c7FaYnTQLzlM4mhu2Y+3DGHhQYi&#10;lnS4xVEpsy6o6W6U1Mb9fI0e5bFnwKVkjQVZUP9jyRyGUn3VmLqzwdFR3KjpcXR8OsTD7XPm+xy9&#10;bC5NbKMUXbpG+aD6a+VM84RdPo1ewWKawzcaMrj+cRnwBgtfAy6m03THFkUHXusHy/v9EJfK4+aJ&#10;OdttnoCVdWP6ZcrGLxZQKxvroc10GUwl03ba4drhjQ2cGqf7WsQVv/9OUrtv2uQXAAAA//8DAFBL&#10;AwQUAAYACAAAACEAxGhsJt8AAAALAQAADwAAAGRycy9kb3ducmV2LnhtbEyPTU/DMAyG70j8h8hI&#10;3LaEjY5Rmk4IaRy4bXycs8a0ZY1TmqwN/x5zGkfbj14/b7FJrhMjDqH1pOFmrkAgVd62VGt4e93O&#10;1iBCNGRN5wk1/GCATXl5UZjc+ol2OO5jLTiEQm40NDH2uZShatCZMPc9Et8+/eBM5HGopR3MxOGu&#10;kwulVtKZlvhDY3p8arA67k9Ow8eYXnbPqf1+d18uG7bT0Y1JaX19lR4fQERM8QzDnz6rQ8lOB38i&#10;G0SnYZ0pVo8aZguVgWDi/m7FmwOjy9slyLKQ/zuUvwAAAP//AwBQSwECLQAUAAYACAAAACEAtoM4&#10;kv4AAADhAQAAEwAAAAAAAAAAAAAAAAAAAAAAW0NvbnRlbnRfVHlwZXNdLnhtbFBLAQItABQABgAI&#10;AAAAIQA4/SH/1gAAAJQBAAALAAAAAAAAAAAAAAAAAC8BAABfcmVscy8ucmVsc1BLAQItABQABgAI&#10;AAAAIQCiTpXc/AIAABsHAAAOAAAAAAAAAAAAAAAAAC4CAABkcnMvZTJvRG9jLnhtbFBLAQItABQA&#10;BgAIAAAAIQDEaGwm3wAAAAsBAAAPAAAAAAAAAAAAAAAAAFYFAABkcnMvZG93bnJldi54bWxQSwUG&#10;AAAAAAQABADzAAAAYgYAAAAA&#10;" fillcolor="#006a96" stroked="f" strokeweight="2pt">
              <v:fill color2="#00b8ff" rotate="t" focusposition="1" focussize="" colors="0 #006a96;.5 #009ad9;1 #00b8ff" focus="100%" type="gradientRadial"/>
            </v:rect>
          </w:pict>
        </mc:Fallback>
      </mc:AlternateContent>
    </w:r>
    <w:r>
      <w:rPr>
        <w:rFonts w:asciiTheme="majorBidi" w:hAnsiTheme="majorBidi" w:cstheme="majorBidi"/>
        <w:noProof/>
      </w:rPr>
      <mc:AlternateContent>
        <mc:Choice Requires="wps">
          <w:drawing>
            <wp:anchor distT="0" distB="0" distL="114300" distR="114300" simplePos="0" relativeHeight="251725312" behindDoc="1" locked="0" layoutInCell="1" allowOverlap="1" wp14:anchorId="3E307DAA" wp14:editId="196E8362">
              <wp:simplePos x="0" y="0"/>
              <wp:positionH relativeFrom="column">
                <wp:posOffset>5227320</wp:posOffset>
              </wp:positionH>
              <wp:positionV relativeFrom="paragraph">
                <wp:posOffset>-130175</wp:posOffset>
              </wp:positionV>
              <wp:extent cx="144780" cy="982980"/>
              <wp:effectExtent l="0" t="0" r="7620" b="7620"/>
              <wp:wrapNone/>
              <wp:docPr id="528652051" name="Rectangle 15"/>
              <wp:cNvGraphicFramePr/>
              <a:graphic xmlns:a="http://schemas.openxmlformats.org/drawingml/2006/main">
                <a:graphicData uri="http://schemas.microsoft.com/office/word/2010/wordprocessingShape">
                  <wps:wsp>
                    <wps:cNvSpPr/>
                    <wps:spPr>
                      <a:xfrm>
                        <a:off x="0" y="0"/>
                        <a:ext cx="144780" cy="982980"/>
                      </a:xfrm>
                      <a:prstGeom prst="rect">
                        <a:avLst/>
                      </a:prstGeom>
                      <a:gradFill flip="none" rotWithShape="1">
                        <a:gsLst>
                          <a:gs pos="0">
                            <a:srgbClr val="0070C0">
                              <a:shade val="30000"/>
                              <a:satMod val="115000"/>
                            </a:srgbClr>
                          </a:gs>
                          <a:gs pos="50000">
                            <a:srgbClr val="0070C0">
                              <a:shade val="67500"/>
                              <a:satMod val="115000"/>
                            </a:srgbClr>
                          </a:gs>
                          <a:gs pos="100000">
                            <a:srgbClr val="0070C0">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9C69B" id="Rectangle 15" o:spid="_x0000_s1026" style="position:absolute;margin-left:411.6pt;margin-top:-10.25pt;width:11.4pt;height:77.4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O05QIAAOAGAAAOAAAAZHJzL2Uyb0RvYy54bWysVdtOGzEQfa/Uf7D8XnaTAoGIDYqCqCrR&#10;goCKZ8drZy15Pa7tXOjXd2zvblKKKoSaB8cez8VzZubsxeWu1WQjnFdgKjo6KikRhkOtzKqiPx6v&#10;P51R4gMzNdNgREWfhaeXs48fLrZ2KsbQgK6FI+jE+OnWVrQJwU6LwvNGtMwfgRUGLyW4lgU8ulVR&#10;O7ZF760uxmV5WmzB1dYBF96j9Cpf0lnyL6Xg4VZKLwLRFcW3hbS6tC7jWswu2HTlmG0U757B3vGK&#10;limDQQdXVywwsnbqL1et4g48yHDEoS1ASsVFygGzGZUvsnlomBUpFwTH2wEm///c8u+bB3vnEIat&#10;9VOP25jFTro2/uP7yC6B9TyAJXaBcBSOjo8nZwgpx6vzs/E57tFLsTe2zocvAloSNxV1WIsEEdvc&#10;+JBVe5UOufpaaU2kVtgIBtuFEgfhSYUmAYEhM8Qe7ZOFJxYQizKJvVstF9qRDYulLiflopM3rBZZ&#10;+rnEXy65Z+Eb1Fk8Gp10cnx95yZlsvKHYaLSm0OdTlD93aFGMdSbY3XaqZXfnBemuuqB1MoQFgd2&#10;PMmBiedMizoinrwGpcU91i9XDcclVSqCo01cDcTK5dsoKfbNlHbhWYusfS8kUTW2zzgXLc65GMrG&#10;OBcm5DL7fd3+qE9vkSqkDTqMniXGH3x3DnrNXOXed35lpx9NRaKJwbiD/V/Gg0WKDCYMxq0y4F7L&#10;TGNWXeSs34OUoYkoLaF+vnOx5WNLE2/5tcLJuWE+3DGHrIRCZNpwi4vUsK0odDtKGnC/XpNHfSQL&#10;vKVkiyxXUf9zzRxOlv5qcHTOcYojLabD8clkjAd3eLM8vDHrdgE4XaP0urSN+kH3W+mgfUJCnseo&#10;eMUMx9gV5cH1h0XI7IuUzsV8ntSQCi0LN+bB8n7IIzM87p6Ysx19BOSd79AzIpu+YJGsG+thYL4O&#10;IFVq1j2uHd5Io6lxOsqPPH14Tlr7D9PsNwAAAP//AwBQSwMEFAAGAAgAAAAhAOb9gIjfAAAACwEA&#10;AA8AAABkcnMvZG93bnJldi54bWxMj8tqwzAQRfeF/oOYQHeJHNs1xrUcSqDQLpMmi+wmlmqZ6GEs&#10;2XH/vtNVuxzmcO+59W6xhs1qDL13ArabBJhyrZe96wScPt/WJbAQ0Uk03ikB3yrArnl8qLGS/u4O&#10;aj7GjlGICxUK0DEOFeeh1cpi2PhBOfp9+dFipHPsuBzxTuHW8DRJCm6xd9SgcVB7rdrbcbIC8rKY&#10;p8vZvn9sp1OPl4PWe6OFeFotry/AolriHwy/+qQODTld/eRkYEZAmWYpoQLWafIMjIgyL2jdldAs&#10;z4A3Nf+/ofkBAAD//wMAUEsBAi0AFAAGAAgAAAAhALaDOJL+AAAA4QEAABMAAAAAAAAAAAAAAAAA&#10;AAAAAFtDb250ZW50X1R5cGVzXS54bWxQSwECLQAUAAYACAAAACEAOP0h/9YAAACUAQAACwAAAAAA&#10;AAAAAAAAAAAvAQAAX3JlbHMvLnJlbHNQSwECLQAUAAYACAAAACEAnSljtOUCAADgBgAADgAAAAAA&#10;AAAAAAAAAAAuAgAAZHJzL2Uyb0RvYy54bWxQSwECLQAUAAYACAAAACEA5v2AiN8AAAALAQAADwAA&#10;AAAAAAAAAAAAAAA/BQAAZHJzL2Rvd25yZXYueG1sUEsFBgAAAAAEAAQA8wAAAEsGAAAAAA==&#10;" fillcolor="#003f77" stroked="f" strokeweight="2pt">
              <v:fill color2="#0072ce" rotate="t" angle="45" colors="0 #003f77;.5 #005fad;1 #0072ce" focus="100%" type="gradient"/>
            </v:rect>
          </w:pict>
        </mc:Fallback>
      </mc:AlternateContent>
    </w:r>
    <w:r>
      <w:rPr>
        <w:noProof/>
      </w:rPr>
      <w:drawing>
        <wp:anchor distT="0" distB="0" distL="114300" distR="114300" simplePos="0" relativeHeight="251722240" behindDoc="0" locked="0" layoutInCell="1" allowOverlap="1" wp14:anchorId="72C5483F" wp14:editId="6CC4B6CF">
          <wp:simplePos x="0" y="0"/>
          <wp:positionH relativeFrom="margin">
            <wp:posOffset>0</wp:posOffset>
          </wp:positionH>
          <wp:positionV relativeFrom="paragraph">
            <wp:posOffset>-81915</wp:posOffset>
          </wp:positionV>
          <wp:extent cx="1457697" cy="913765"/>
          <wp:effectExtent l="0" t="0" r="9525" b="635"/>
          <wp:wrapNone/>
          <wp:docPr id="1963565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65750" name="Picture 1963565750"/>
                  <pic:cNvPicPr/>
                </pic:nvPicPr>
                <pic:blipFill>
                  <a:blip r:embed="rId1">
                    <a:extLst>
                      <a:ext uri="{28A0092B-C50C-407E-A947-70E740481C1C}">
                        <a14:useLocalDpi xmlns:a14="http://schemas.microsoft.com/office/drawing/2010/main" val="0"/>
                      </a:ext>
                    </a:extLst>
                  </a:blip>
                  <a:stretch>
                    <a:fillRect/>
                  </a:stretch>
                </pic:blipFill>
                <pic:spPr>
                  <a:xfrm>
                    <a:off x="0" y="0"/>
                    <a:ext cx="1457697" cy="913765"/>
                  </a:xfrm>
                  <a:prstGeom prst="rect">
                    <a:avLst/>
                  </a:prstGeom>
                </pic:spPr>
              </pic:pic>
            </a:graphicData>
          </a:graphic>
        </wp:anchor>
      </w:drawing>
    </w:r>
    <w:r>
      <w:rPr>
        <w:rFonts w:asciiTheme="majorBidi" w:hAnsiTheme="majorBidi" w:cstheme="majorBidi"/>
        <w:b/>
        <w:bCs/>
        <w:color w:val="227ACB"/>
      </w:rPr>
      <w:t xml:space="preserve">                                                   </w:t>
    </w:r>
    <w:r w:rsidR="004C1267" w:rsidRPr="00904784">
      <w:rPr>
        <w:rFonts w:asciiTheme="majorBidi" w:hAnsiTheme="majorBidi" w:cstheme="majorBidi"/>
        <w:b/>
        <w:bCs/>
        <w:color w:val="227ACB"/>
        <w:sz w:val="22"/>
        <w:szCs w:val="22"/>
      </w:rPr>
      <w:t>The Global Journal of Sport and Exercise Science (GJSES)</w:t>
    </w:r>
  </w:p>
  <w:p w14:paraId="6F4AC43D" w14:textId="7B403347" w:rsidR="004C1267" w:rsidRPr="00904784" w:rsidRDefault="0022306A" w:rsidP="004C1267">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DB5CFD">
      <w:rPr>
        <w:rFonts w:asciiTheme="majorBidi" w:hAnsiTheme="majorBidi" w:cstheme="majorBidi"/>
        <w:b/>
        <w:bCs/>
        <w:color w:val="227ACB"/>
        <w:sz w:val="22"/>
        <w:szCs w:val="22"/>
      </w:rPr>
      <w:t xml:space="preserve">         </w:t>
    </w:r>
    <w:r w:rsidR="004C1267" w:rsidRPr="00904784">
      <w:rPr>
        <w:rFonts w:asciiTheme="majorBidi" w:hAnsiTheme="majorBidi" w:cstheme="majorBidi"/>
        <w:b/>
        <w:bCs/>
        <w:color w:val="227ACB"/>
        <w:sz w:val="22"/>
        <w:szCs w:val="22"/>
      </w:rPr>
      <w:t xml:space="preserve">Vol. </w:t>
    </w:r>
    <w:r w:rsidR="003F683E">
      <w:rPr>
        <w:rFonts w:asciiTheme="majorBidi" w:hAnsiTheme="majorBidi" w:cstheme="majorBidi"/>
        <w:b/>
        <w:bCs/>
        <w:color w:val="227ACB"/>
        <w:sz w:val="22"/>
        <w:szCs w:val="22"/>
      </w:rPr>
      <w:t>2</w:t>
    </w:r>
    <w:r w:rsidR="004C1267" w:rsidRPr="00904784">
      <w:rPr>
        <w:rFonts w:asciiTheme="majorBidi" w:hAnsiTheme="majorBidi" w:cstheme="majorBidi"/>
        <w:b/>
        <w:bCs/>
        <w:color w:val="227ACB"/>
        <w:sz w:val="22"/>
        <w:szCs w:val="22"/>
      </w:rPr>
      <w:t xml:space="preserve">, </w:t>
    </w:r>
    <w:r w:rsidR="00070092">
      <w:rPr>
        <w:rFonts w:asciiTheme="majorBidi" w:hAnsiTheme="majorBidi" w:cstheme="majorBidi"/>
        <w:b/>
        <w:bCs/>
        <w:color w:val="227ACB"/>
        <w:sz w:val="22"/>
        <w:szCs w:val="22"/>
      </w:rPr>
      <w:t>N</w:t>
    </w:r>
    <w:r w:rsidR="00DB5CFD">
      <w:rPr>
        <w:rFonts w:asciiTheme="majorBidi" w:hAnsiTheme="majorBidi" w:cstheme="majorBidi"/>
        <w:b/>
        <w:bCs/>
        <w:color w:val="227ACB"/>
        <w:sz w:val="22"/>
        <w:szCs w:val="22"/>
      </w:rPr>
      <w:t>o</w:t>
    </w:r>
    <w:r w:rsidR="009F724E">
      <w:rPr>
        <w:rFonts w:asciiTheme="majorBidi" w:hAnsiTheme="majorBidi" w:cstheme="majorBidi"/>
        <w:b/>
        <w:bCs/>
        <w:color w:val="227ACB"/>
        <w:sz w:val="22"/>
        <w:szCs w:val="22"/>
      </w:rPr>
      <w:t>.</w:t>
    </w:r>
    <w:r w:rsidR="00070092">
      <w:rPr>
        <w:rFonts w:asciiTheme="majorBidi" w:hAnsiTheme="majorBidi" w:cstheme="majorBidi"/>
        <w:b/>
        <w:bCs/>
        <w:color w:val="227ACB"/>
        <w:sz w:val="22"/>
        <w:szCs w:val="22"/>
      </w:rPr>
      <w:t xml:space="preserve"> </w:t>
    </w:r>
    <w:r w:rsidR="003F683E">
      <w:rPr>
        <w:rFonts w:asciiTheme="majorBidi" w:hAnsiTheme="majorBidi" w:cstheme="majorBidi"/>
        <w:b/>
        <w:bCs/>
        <w:color w:val="227ACB"/>
        <w:sz w:val="22"/>
        <w:szCs w:val="22"/>
      </w:rPr>
      <w:t>1</w:t>
    </w:r>
    <w:r w:rsidR="004C1267" w:rsidRPr="00904784">
      <w:rPr>
        <w:rFonts w:asciiTheme="majorBidi" w:hAnsiTheme="majorBidi" w:cstheme="majorBidi"/>
        <w:b/>
        <w:bCs/>
        <w:color w:val="227ACB"/>
        <w:sz w:val="22"/>
        <w:szCs w:val="22"/>
      </w:rPr>
      <w:t xml:space="preserve"> (202</w:t>
    </w:r>
    <w:r w:rsidR="003F683E">
      <w:rPr>
        <w:rFonts w:asciiTheme="majorBidi" w:hAnsiTheme="majorBidi" w:cstheme="majorBidi"/>
        <w:b/>
        <w:bCs/>
        <w:color w:val="227ACB"/>
        <w:sz w:val="22"/>
        <w:szCs w:val="22"/>
      </w:rPr>
      <w:t>6</w:t>
    </w:r>
    <w:r w:rsidR="004C1267" w:rsidRPr="00904784">
      <w:rPr>
        <w:rFonts w:asciiTheme="majorBidi" w:hAnsiTheme="majorBidi" w:cstheme="majorBidi"/>
        <w:b/>
        <w:bCs/>
        <w:color w:val="227ACB"/>
        <w:sz w:val="22"/>
        <w:szCs w:val="22"/>
      </w:rPr>
      <w:t>)</w:t>
    </w:r>
  </w:p>
  <w:p w14:paraId="67358CCA" w14:textId="7445178D" w:rsidR="004C1267" w:rsidRPr="00904784" w:rsidRDefault="0022306A" w:rsidP="00516AC7">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4C1267" w:rsidRPr="00904784">
      <w:rPr>
        <w:rFonts w:asciiTheme="majorBidi" w:hAnsiTheme="majorBidi" w:cstheme="majorBidi"/>
        <w:b/>
        <w:bCs/>
        <w:color w:val="227ACB"/>
        <w:sz w:val="22"/>
        <w:szCs w:val="22"/>
      </w:rPr>
      <w:t>ISSN</w:t>
    </w:r>
    <w:r w:rsidR="00516AC7">
      <w:rPr>
        <w:rFonts w:asciiTheme="majorBidi" w:hAnsiTheme="majorBidi" w:cstheme="majorBidi"/>
        <w:b/>
        <w:bCs/>
        <w:color w:val="227ACB"/>
        <w:sz w:val="22"/>
        <w:szCs w:val="22"/>
      </w:rPr>
      <w:t xml:space="preserve"> (Print)</w:t>
    </w:r>
    <w:r w:rsidR="004C1267" w:rsidRPr="00904784">
      <w:rPr>
        <w:rFonts w:asciiTheme="majorBidi" w:hAnsiTheme="majorBidi" w:cstheme="majorBidi"/>
        <w:b/>
        <w:bCs/>
        <w:color w:val="227ACB"/>
        <w:sz w:val="22"/>
        <w:szCs w:val="22"/>
      </w:rPr>
      <w:t>: 3080-030</w:t>
    </w:r>
    <w:r w:rsidR="00A14324">
      <w:rPr>
        <w:rFonts w:asciiTheme="majorBidi" w:hAnsiTheme="majorBidi" w:cstheme="majorBidi"/>
        <w:b/>
        <w:bCs/>
        <w:color w:val="227ACB"/>
        <w:sz w:val="22"/>
        <w:szCs w:val="22"/>
      </w:rPr>
      <w:t>7</w:t>
    </w:r>
    <w:r w:rsidR="00516AC7">
      <w:rPr>
        <w:rFonts w:asciiTheme="majorBidi" w:hAnsiTheme="majorBidi" w:cstheme="majorBidi"/>
        <w:b/>
        <w:bCs/>
        <w:color w:val="227ACB"/>
        <w:sz w:val="22"/>
        <w:szCs w:val="22"/>
      </w:rPr>
      <w:t xml:space="preserve"> </w:t>
    </w:r>
    <w:r w:rsidR="00516AC7" w:rsidRPr="00904784">
      <w:rPr>
        <w:rFonts w:asciiTheme="majorBidi" w:hAnsiTheme="majorBidi" w:cstheme="majorBidi"/>
        <w:b/>
        <w:bCs/>
        <w:color w:val="227ACB"/>
        <w:sz w:val="22"/>
        <w:szCs w:val="22"/>
      </w:rPr>
      <w:t>ISSN</w:t>
    </w:r>
    <w:r w:rsidR="00516AC7">
      <w:rPr>
        <w:rFonts w:asciiTheme="majorBidi" w:hAnsiTheme="majorBidi" w:cstheme="majorBidi"/>
        <w:b/>
        <w:bCs/>
        <w:color w:val="227ACB"/>
        <w:sz w:val="22"/>
        <w:szCs w:val="22"/>
      </w:rPr>
      <w:t xml:space="preserve">     </w:t>
    </w:r>
    <w:r w:rsidR="002017FC">
      <w:rPr>
        <w:rFonts w:asciiTheme="majorBidi" w:hAnsiTheme="majorBidi" w:cstheme="majorBidi"/>
        <w:b/>
        <w:bCs/>
        <w:color w:val="227ACB"/>
        <w:sz w:val="22"/>
        <w:szCs w:val="22"/>
      </w:rPr>
      <w:t xml:space="preserve"> </w:t>
    </w:r>
    <w:proofErr w:type="gramStart"/>
    <w:r w:rsidR="00516AC7">
      <w:rPr>
        <w:rFonts w:asciiTheme="majorBidi" w:hAnsiTheme="majorBidi" w:cstheme="majorBidi"/>
        <w:b/>
        <w:bCs/>
        <w:color w:val="227ACB"/>
        <w:sz w:val="22"/>
        <w:szCs w:val="22"/>
      </w:rPr>
      <w:t xml:space="preserve">   (</w:t>
    </w:r>
    <w:proofErr w:type="gramEnd"/>
    <w:r w:rsidR="00516AC7">
      <w:rPr>
        <w:rFonts w:asciiTheme="majorBidi" w:hAnsiTheme="majorBidi" w:cstheme="majorBidi"/>
        <w:b/>
        <w:bCs/>
        <w:color w:val="227ACB"/>
        <w:sz w:val="22"/>
        <w:szCs w:val="22"/>
      </w:rPr>
      <w:t>Online)</w:t>
    </w:r>
    <w:r w:rsidR="00516AC7" w:rsidRPr="00904784">
      <w:rPr>
        <w:rFonts w:asciiTheme="majorBidi" w:hAnsiTheme="majorBidi" w:cstheme="majorBidi"/>
        <w:b/>
        <w:bCs/>
        <w:color w:val="227ACB"/>
        <w:sz w:val="22"/>
        <w:szCs w:val="22"/>
      </w:rPr>
      <w:t xml:space="preserve">: </w:t>
    </w:r>
    <w:r w:rsidR="00516AC7" w:rsidRPr="00516AC7">
      <w:rPr>
        <w:rFonts w:asciiTheme="majorBidi" w:hAnsiTheme="majorBidi" w:cstheme="majorBidi"/>
        <w:b/>
        <w:bCs/>
        <w:color w:val="227ACB"/>
        <w:sz w:val="22"/>
        <w:szCs w:val="22"/>
      </w:rPr>
      <w:t>3107-037X</w:t>
    </w:r>
  </w:p>
  <w:p w14:paraId="3F3ADD2D" w14:textId="0143E90A" w:rsidR="0022306A" w:rsidRPr="002A7A72" w:rsidRDefault="0022306A" w:rsidP="000B3895">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FA3C92">
      <w:rPr>
        <w:rFonts w:asciiTheme="majorBidi" w:hAnsiTheme="majorBidi" w:cstheme="majorBidi"/>
        <w:b/>
        <w:bCs/>
        <w:color w:val="227ACB"/>
        <w:sz w:val="22"/>
        <w:szCs w:val="22"/>
      </w:rPr>
      <w:t xml:space="preserve">  </w:t>
    </w:r>
    <w:r w:rsidRPr="00904784">
      <w:rPr>
        <w:rFonts w:asciiTheme="majorBidi" w:hAnsiTheme="majorBidi" w:cstheme="majorBidi"/>
        <w:b/>
        <w:bCs/>
        <w:color w:val="227ACB"/>
        <w:sz w:val="22"/>
        <w:szCs w:val="22"/>
      </w:rPr>
      <w:t xml:space="preserve">   </w:t>
    </w:r>
    <w:r w:rsidRPr="002A7A72">
      <w:rPr>
        <w:rFonts w:asciiTheme="majorBidi" w:hAnsiTheme="majorBidi" w:cstheme="majorBidi"/>
        <w:b/>
        <w:bCs/>
        <w:color w:val="227ACB"/>
        <w:sz w:val="26"/>
        <w:szCs w:val="26"/>
      </w:rPr>
      <w:t>DOI (</w:t>
    </w:r>
    <w:proofErr w:type="spellStart"/>
    <w:r w:rsidRPr="002A7A72">
      <w:rPr>
        <w:rFonts w:asciiTheme="majorBidi" w:hAnsiTheme="majorBidi" w:cstheme="majorBidi"/>
        <w:b/>
        <w:bCs/>
        <w:color w:val="227ACB"/>
        <w:sz w:val="26"/>
        <w:szCs w:val="26"/>
      </w:rPr>
      <w:t>Crossref</w:t>
    </w:r>
    <w:proofErr w:type="spellEnd"/>
    <w:r w:rsidRPr="002A7A72">
      <w:rPr>
        <w:rFonts w:asciiTheme="majorBidi" w:hAnsiTheme="majorBidi" w:cstheme="majorBidi"/>
        <w:b/>
        <w:bCs/>
        <w:color w:val="227ACB"/>
        <w:sz w:val="26"/>
        <w:szCs w:val="26"/>
      </w:rPr>
      <w:t>)</w:t>
    </w:r>
    <w:r w:rsidR="002A7A72" w:rsidRPr="002A7A72">
      <w:rPr>
        <w:rFonts w:asciiTheme="majorBidi" w:hAnsiTheme="majorBidi" w:cstheme="majorBidi"/>
        <w:b/>
        <w:bCs/>
        <w:color w:val="227ACB"/>
        <w:sz w:val="26"/>
        <w:szCs w:val="26"/>
      </w:rPr>
      <w:t>:</w:t>
    </w:r>
    <w:r w:rsidR="002A7A72" w:rsidRPr="002A7A72">
      <w:rPr>
        <w:b/>
        <w:bCs/>
        <w:sz w:val="24"/>
        <w:szCs w:val="24"/>
      </w:rPr>
      <w:t xml:space="preserve"> </w:t>
    </w:r>
    <w:hyperlink r:id="rId2" w:history="1">
      <w:r w:rsidR="0040363F" w:rsidRPr="002D7F25">
        <w:rPr>
          <w:rStyle w:val="Hyperlink"/>
          <w:b/>
          <w:bCs/>
          <w:sz w:val="24"/>
          <w:szCs w:val="24"/>
        </w:rPr>
        <w:t>https://doi.org/</w:t>
      </w:r>
      <w:r w:rsidR="00091604" w:rsidRPr="00091604">
        <w:rPr>
          <w:rStyle w:val="Hyperlink"/>
          <w:b/>
          <w:bCs/>
          <w:sz w:val="24"/>
          <w:szCs w:val="24"/>
        </w:rPr>
        <w:t>10.63750/</w:t>
      </w:r>
      <w:r w:rsidR="000B3F26" w:rsidRPr="000B3F26">
        <w:rPr>
          <w:rStyle w:val="Hyperlink"/>
          <w:b/>
          <w:bCs/>
          <w:sz w:val="24"/>
          <w:szCs w:val="24"/>
        </w:rPr>
        <w:t>cxm5em66</w:t>
      </w:r>
    </w:hyperlink>
  </w:p>
  <w:p w14:paraId="0F8E6846" w14:textId="3EFBB5AB" w:rsidR="00E77E1F" w:rsidRPr="00D84CA9" w:rsidRDefault="00D84CA9" w:rsidP="00E7616E">
    <w:pPr>
      <w:pStyle w:val="Title"/>
      <w:spacing w:line="276" w:lineRule="auto"/>
      <w:jc w:val="left"/>
      <w:rPr>
        <w:rStyle w:val="PageNumber"/>
        <w:rFonts w:ascii="Cascadia Mono SemiBold" w:hAnsi="Cascadia Mono SemiBold" w:cs="Cascadia Mono SemiBold"/>
        <w:iCs/>
        <w:szCs w:val="28"/>
        <w:lang w:val="en-US"/>
      </w:rPr>
    </w:pPr>
    <w:r w:rsidRPr="00D84CA9">
      <w:rPr>
        <w:noProof/>
        <w:sz w:val="24"/>
        <w:szCs w:val="22"/>
        <w:highlight w:val="lightGray"/>
      </w:rPr>
      <mc:AlternateContent>
        <mc:Choice Requires="wps">
          <w:drawing>
            <wp:anchor distT="0" distB="0" distL="114300" distR="114300" simplePos="0" relativeHeight="251720192" behindDoc="0" locked="0" layoutInCell="1" allowOverlap="1" wp14:anchorId="480481AD" wp14:editId="074121F1">
              <wp:simplePos x="0" y="0"/>
              <wp:positionH relativeFrom="column">
                <wp:posOffset>-3810</wp:posOffset>
              </wp:positionH>
              <wp:positionV relativeFrom="paragraph">
                <wp:posOffset>333375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099AB5" id="_x0000_t32" coordsize="21600,21600" o:spt="32" o:oned="t" path="m,l21600,21600e" filled="f">
              <v:path arrowok="t" fillok="f" o:connecttype="none"/>
              <o:lock v:ext="edit" shapetype="t"/>
            </v:shapetype>
            <v:shape id="AutoShape 6" o:spid="_x0000_s1026" type="#_x0000_t32" style="position:absolute;margin-left:-.3pt;margin-top:26.25pt;width:442.2pt;height: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WrkIz3AAAAAcBAAAPAAAAZHJzL2Rvd25yZXYu&#10;eG1sTI/BbsIwEETvlfoP1iL1UoFDqqA0xEGoUg89FpB6NfE2CcTrKHZIytd3Kw70ODujmbf5ZrKt&#10;uGDvG0cKlosIBFLpTEOVgsP+fZ6C8EGT0a0jVPCDHjbF40OuM+NG+sTLLlSCS8hnWkEdQpdJ6csa&#10;rfYL1yGx9+16qwPLvpKm1yOX21bGUbSSVjfEC7Xu8K3G8rwbrAL0Q7KMtq+2Onxcx+ev+Hoau71S&#10;T7NpuwYRcAr3MPzhMzoUzHR0AxkvWgXzFQcVJHECgu00feFPjreDLHL5n7/4BQAA//8DAFBLAQIt&#10;ABQABgAIAAAAIQC2gziS/gAAAOEBAAATAAAAAAAAAAAAAAAAAAAAAABbQ29udGVudF9UeXBlc10u&#10;eG1sUEsBAi0AFAAGAAgAAAAhADj9If/WAAAAlAEAAAsAAAAAAAAAAAAAAAAALwEAAF9yZWxzLy5y&#10;ZWxzUEsBAi0AFAAGAAgAAAAhAG8vBKK3AQAAVgMAAA4AAAAAAAAAAAAAAAAALgIAAGRycy9lMm9E&#10;b2MueG1sUEsBAi0AFAAGAAgAAAAhANauQjPcAAAABwEAAA8AAAAAAAAAAAAAAAAAEQ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94FC7"/>
    <w:multiLevelType w:val="hybridMultilevel"/>
    <w:tmpl w:val="12D49F64"/>
    <w:lvl w:ilvl="0" w:tplc="DCF89A2C">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5C0D4F"/>
    <w:multiLevelType w:val="hybridMultilevel"/>
    <w:tmpl w:val="42505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6EC18AC"/>
    <w:multiLevelType w:val="hybridMultilevel"/>
    <w:tmpl w:val="7C2C0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4" w15:restartNumberingAfterBreak="0">
    <w:nsid w:val="60EA2A6E"/>
    <w:multiLevelType w:val="hybridMultilevel"/>
    <w:tmpl w:val="5BC02676"/>
    <w:lvl w:ilvl="0" w:tplc="3D5419A6">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6" w15:restartNumberingAfterBreak="0">
    <w:nsid w:val="674C195F"/>
    <w:multiLevelType w:val="hybridMultilevel"/>
    <w:tmpl w:val="E0FA77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8" w15:restartNumberingAfterBreak="0">
    <w:nsid w:val="7707092B"/>
    <w:multiLevelType w:val="hybridMultilevel"/>
    <w:tmpl w:val="B4D4C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4429759">
    <w:abstractNumId w:val="5"/>
  </w:num>
  <w:num w:numId="2" w16cid:durableId="1374694553">
    <w:abstractNumId w:val="3"/>
  </w:num>
  <w:num w:numId="3" w16cid:durableId="950279584">
    <w:abstractNumId w:val="7"/>
  </w:num>
  <w:num w:numId="4" w16cid:durableId="1918592351">
    <w:abstractNumId w:val="1"/>
  </w:num>
  <w:num w:numId="5" w16cid:durableId="1164512681">
    <w:abstractNumId w:val="2"/>
  </w:num>
  <w:num w:numId="6" w16cid:durableId="2078284560">
    <w:abstractNumId w:val="6"/>
  </w:num>
  <w:num w:numId="7" w16cid:durableId="1103958710">
    <w:abstractNumId w:val="4"/>
  </w:num>
  <w:num w:numId="8" w16cid:durableId="857741093">
    <w:abstractNumId w:val="0"/>
  </w:num>
  <w:num w:numId="9" w16cid:durableId="140032317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1BE7"/>
    <w:rsid w:val="00002212"/>
    <w:rsid w:val="00002882"/>
    <w:rsid w:val="0000385F"/>
    <w:rsid w:val="00005EFC"/>
    <w:rsid w:val="0000605E"/>
    <w:rsid w:val="00007744"/>
    <w:rsid w:val="000100AB"/>
    <w:rsid w:val="000106D0"/>
    <w:rsid w:val="0001114A"/>
    <w:rsid w:val="00011871"/>
    <w:rsid w:val="00012CEF"/>
    <w:rsid w:val="00014633"/>
    <w:rsid w:val="000157FD"/>
    <w:rsid w:val="00015F2A"/>
    <w:rsid w:val="00017858"/>
    <w:rsid w:val="00021744"/>
    <w:rsid w:val="00022D47"/>
    <w:rsid w:val="00027142"/>
    <w:rsid w:val="000279BE"/>
    <w:rsid w:val="00032C6F"/>
    <w:rsid w:val="00034C84"/>
    <w:rsid w:val="000416A3"/>
    <w:rsid w:val="000431C3"/>
    <w:rsid w:val="000437AE"/>
    <w:rsid w:val="000442C6"/>
    <w:rsid w:val="00046478"/>
    <w:rsid w:val="000474E3"/>
    <w:rsid w:val="00047710"/>
    <w:rsid w:val="00050148"/>
    <w:rsid w:val="00050727"/>
    <w:rsid w:val="000523C5"/>
    <w:rsid w:val="00053FB7"/>
    <w:rsid w:val="00056B82"/>
    <w:rsid w:val="0006020A"/>
    <w:rsid w:val="00060330"/>
    <w:rsid w:val="00060F5C"/>
    <w:rsid w:val="00061D77"/>
    <w:rsid w:val="00062720"/>
    <w:rsid w:val="00062EE6"/>
    <w:rsid w:val="000639EB"/>
    <w:rsid w:val="00064AB2"/>
    <w:rsid w:val="00065191"/>
    <w:rsid w:val="00066063"/>
    <w:rsid w:val="000665D4"/>
    <w:rsid w:val="00070092"/>
    <w:rsid w:val="0007067D"/>
    <w:rsid w:val="0007154C"/>
    <w:rsid w:val="0007236F"/>
    <w:rsid w:val="00073422"/>
    <w:rsid w:val="00073635"/>
    <w:rsid w:val="0007533B"/>
    <w:rsid w:val="0007642C"/>
    <w:rsid w:val="00076C16"/>
    <w:rsid w:val="000776D4"/>
    <w:rsid w:val="00080CCD"/>
    <w:rsid w:val="000816FC"/>
    <w:rsid w:val="000830A2"/>
    <w:rsid w:val="00083B9D"/>
    <w:rsid w:val="00083DD6"/>
    <w:rsid w:val="00085121"/>
    <w:rsid w:val="00086551"/>
    <w:rsid w:val="000877AC"/>
    <w:rsid w:val="00087876"/>
    <w:rsid w:val="00087AF7"/>
    <w:rsid w:val="00090B78"/>
    <w:rsid w:val="00090CF7"/>
    <w:rsid w:val="00091604"/>
    <w:rsid w:val="00091730"/>
    <w:rsid w:val="00093380"/>
    <w:rsid w:val="000948D1"/>
    <w:rsid w:val="00094EB8"/>
    <w:rsid w:val="00095C3E"/>
    <w:rsid w:val="00096883"/>
    <w:rsid w:val="000973CC"/>
    <w:rsid w:val="00097958"/>
    <w:rsid w:val="00097E2D"/>
    <w:rsid w:val="000A0940"/>
    <w:rsid w:val="000A15DA"/>
    <w:rsid w:val="000A1A82"/>
    <w:rsid w:val="000A3AB7"/>
    <w:rsid w:val="000A592D"/>
    <w:rsid w:val="000A643C"/>
    <w:rsid w:val="000A70F2"/>
    <w:rsid w:val="000A7ACA"/>
    <w:rsid w:val="000B0641"/>
    <w:rsid w:val="000B1AEE"/>
    <w:rsid w:val="000B3895"/>
    <w:rsid w:val="000B3F26"/>
    <w:rsid w:val="000B5480"/>
    <w:rsid w:val="000B66B7"/>
    <w:rsid w:val="000B682B"/>
    <w:rsid w:val="000C03DA"/>
    <w:rsid w:val="000C3B22"/>
    <w:rsid w:val="000C4B17"/>
    <w:rsid w:val="000C730A"/>
    <w:rsid w:val="000C7A51"/>
    <w:rsid w:val="000D099B"/>
    <w:rsid w:val="000D0B47"/>
    <w:rsid w:val="000D195A"/>
    <w:rsid w:val="000D3712"/>
    <w:rsid w:val="000D4E21"/>
    <w:rsid w:val="000D50C8"/>
    <w:rsid w:val="000D6591"/>
    <w:rsid w:val="000D67F7"/>
    <w:rsid w:val="000D6BC3"/>
    <w:rsid w:val="000E0AE1"/>
    <w:rsid w:val="000E0C84"/>
    <w:rsid w:val="000E0CE9"/>
    <w:rsid w:val="000E0E3C"/>
    <w:rsid w:val="000E1C9D"/>
    <w:rsid w:val="000E28E0"/>
    <w:rsid w:val="000E2A5F"/>
    <w:rsid w:val="000E46C5"/>
    <w:rsid w:val="000E46CF"/>
    <w:rsid w:val="000E4FD6"/>
    <w:rsid w:val="000E66EF"/>
    <w:rsid w:val="000E708C"/>
    <w:rsid w:val="000E7949"/>
    <w:rsid w:val="000F0547"/>
    <w:rsid w:val="000F279B"/>
    <w:rsid w:val="000F29E1"/>
    <w:rsid w:val="000F2C3F"/>
    <w:rsid w:val="000F61E2"/>
    <w:rsid w:val="000F703D"/>
    <w:rsid w:val="000F7C73"/>
    <w:rsid w:val="000F7ED5"/>
    <w:rsid w:val="0010046E"/>
    <w:rsid w:val="00100C63"/>
    <w:rsid w:val="00102A61"/>
    <w:rsid w:val="00103106"/>
    <w:rsid w:val="001041EB"/>
    <w:rsid w:val="001045B1"/>
    <w:rsid w:val="00104BF1"/>
    <w:rsid w:val="00106F02"/>
    <w:rsid w:val="001078A8"/>
    <w:rsid w:val="00107904"/>
    <w:rsid w:val="00111779"/>
    <w:rsid w:val="001129DE"/>
    <w:rsid w:val="00112EDA"/>
    <w:rsid w:val="0011369D"/>
    <w:rsid w:val="00113F18"/>
    <w:rsid w:val="00114470"/>
    <w:rsid w:val="00117326"/>
    <w:rsid w:val="00117C85"/>
    <w:rsid w:val="00120F37"/>
    <w:rsid w:val="00121C37"/>
    <w:rsid w:val="00122833"/>
    <w:rsid w:val="0012288F"/>
    <w:rsid w:val="00122C6F"/>
    <w:rsid w:val="0012593C"/>
    <w:rsid w:val="00125C41"/>
    <w:rsid w:val="00126A06"/>
    <w:rsid w:val="00126B1A"/>
    <w:rsid w:val="0013179E"/>
    <w:rsid w:val="00131A6C"/>
    <w:rsid w:val="00131E4C"/>
    <w:rsid w:val="001326CA"/>
    <w:rsid w:val="00133B59"/>
    <w:rsid w:val="001352A3"/>
    <w:rsid w:val="001363DF"/>
    <w:rsid w:val="00136716"/>
    <w:rsid w:val="00137465"/>
    <w:rsid w:val="00137E25"/>
    <w:rsid w:val="00137F36"/>
    <w:rsid w:val="00140309"/>
    <w:rsid w:val="001414E2"/>
    <w:rsid w:val="001434C3"/>
    <w:rsid w:val="00143E2A"/>
    <w:rsid w:val="001441CB"/>
    <w:rsid w:val="00144CB0"/>
    <w:rsid w:val="00145332"/>
    <w:rsid w:val="00145453"/>
    <w:rsid w:val="0014611F"/>
    <w:rsid w:val="00146861"/>
    <w:rsid w:val="00151164"/>
    <w:rsid w:val="001517E4"/>
    <w:rsid w:val="00151E7C"/>
    <w:rsid w:val="00152CFC"/>
    <w:rsid w:val="00153387"/>
    <w:rsid w:val="00153B62"/>
    <w:rsid w:val="00153D77"/>
    <w:rsid w:val="00154C55"/>
    <w:rsid w:val="00157C06"/>
    <w:rsid w:val="00161845"/>
    <w:rsid w:val="00161B14"/>
    <w:rsid w:val="00162849"/>
    <w:rsid w:val="001634F9"/>
    <w:rsid w:val="00166432"/>
    <w:rsid w:val="001664A6"/>
    <w:rsid w:val="00167012"/>
    <w:rsid w:val="001671A8"/>
    <w:rsid w:val="0016761A"/>
    <w:rsid w:val="00167BE2"/>
    <w:rsid w:val="0017238E"/>
    <w:rsid w:val="0017376D"/>
    <w:rsid w:val="0017633A"/>
    <w:rsid w:val="00177E2C"/>
    <w:rsid w:val="00180992"/>
    <w:rsid w:val="00180FD2"/>
    <w:rsid w:val="00180FD4"/>
    <w:rsid w:val="00181509"/>
    <w:rsid w:val="00181965"/>
    <w:rsid w:val="00185202"/>
    <w:rsid w:val="00186FB6"/>
    <w:rsid w:val="00187B69"/>
    <w:rsid w:val="0019050C"/>
    <w:rsid w:val="00192248"/>
    <w:rsid w:val="00192E8C"/>
    <w:rsid w:val="0019377B"/>
    <w:rsid w:val="0019391D"/>
    <w:rsid w:val="00193F7B"/>
    <w:rsid w:val="00195579"/>
    <w:rsid w:val="001A0839"/>
    <w:rsid w:val="001A33EF"/>
    <w:rsid w:val="001B2439"/>
    <w:rsid w:val="001B2EF9"/>
    <w:rsid w:val="001B3F40"/>
    <w:rsid w:val="001B4AB3"/>
    <w:rsid w:val="001B5250"/>
    <w:rsid w:val="001B5719"/>
    <w:rsid w:val="001B621C"/>
    <w:rsid w:val="001B64D0"/>
    <w:rsid w:val="001B7915"/>
    <w:rsid w:val="001C0FE6"/>
    <w:rsid w:val="001C17D1"/>
    <w:rsid w:val="001C19EB"/>
    <w:rsid w:val="001C1DDC"/>
    <w:rsid w:val="001C2258"/>
    <w:rsid w:val="001C7AC5"/>
    <w:rsid w:val="001D04CA"/>
    <w:rsid w:val="001D19C3"/>
    <w:rsid w:val="001D1A67"/>
    <w:rsid w:val="001D218B"/>
    <w:rsid w:val="001D2464"/>
    <w:rsid w:val="001D3F63"/>
    <w:rsid w:val="001D6584"/>
    <w:rsid w:val="001E0AB3"/>
    <w:rsid w:val="001E1922"/>
    <w:rsid w:val="001E2071"/>
    <w:rsid w:val="001E26A7"/>
    <w:rsid w:val="001E31DF"/>
    <w:rsid w:val="001E4341"/>
    <w:rsid w:val="001E504D"/>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17FC"/>
    <w:rsid w:val="00204431"/>
    <w:rsid w:val="0020464A"/>
    <w:rsid w:val="00204A25"/>
    <w:rsid w:val="0020608E"/>
    <w:rsid w:val="00206EF6"/>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28C6"/>
    <w:rsid w:val="0022306A"/>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45469"/>
    <w:rsid w:val="002469F4"/>
    <w:rsid w:val="00247217"/>
    <w:rsid w:val="00250442"/>
    <w:rsid w:val="00250A66"/>
    <w:rsid w:val="00254EC2"/>
    <w:rsid w:val="002550AB"/>
    <w:rsid w:val="00255388"/>
    <w:rsid w:val="0025602C"/>
    <w:rsid w:val="00256322"/>
    <w:rsid w:val="002575A8"/>
    <w:rsid w:val="00260476"/>
    <w:rsid w:val="00261B88"/>
    <w:rsid w:val="0026229E"/>
    <w:rsid w:val="002622CD"/>
    <w:rsid w:val="00263603"/>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173"/>
    <w:rsid w:val="00291EBF"/>
    <w:rsid w:val="00296D8E"/>
    <w:rsid w:val="00297AC9"/>
    <w:rsid w:val="002A0772"/>
    <w:rsid w:val="002A276C"/>
    <w:rsid w:val="002A7A72"/>
    <w:rsid w:val="002B0601"/>
    <w:rsid w:val="002B10C7"/>
    <w:rsid w:val="002B66EF"/>
    <w:rsid w:val="002B6EC9"/>
    <w:rsid w:val="002B7609"/>
    <w:rsid w:val="002C0665"/>
    <w:rsid w:val="002C1CB5"/>
    <w:rsid w:val="002C2C92"/>
    <w:rsid w:val="002C4749"/>
    <w:rsid w:val="002C49CF"/>
    <w:rsid w:val="002C4D15"/>
    <w:rsid w:val="002C6317"/>
    <w:rsid w:val="002D07B9"/>
    <w:rsid w:val="002D0C71"/>
    <w:rsid w:val="002D0F04"/>
    <w:rsid w:val="002D31A6"/>
    <w:rsid w:val="002D4A56"/>
    <w:rsid w:val="002D797A"/>
    <w:rsid w:val="002E0A72"/>
    <w:rsid w:val="002E0BC4"/>
    <w:rsid w:val="002E0E3B"/>
    <w:rsid w:val="002E184C"/>
    <w:rsid w:val="002E2246"/>
    <w:rsid w:val="002E2CAE"/>
    <w:rsid w:val="002E60FC"/>
    <w:rsid w:val="002E6409"/>
    <w:rsid w:val="002E75D7"/>
    <w:rsid w:val="002F137A"/>
    <w:rsid w:val="002F267D"/>
    <w:rsid w:val="002F2A72"/>
    <w:rsid w:val="002F364D"/>
    <w:rsid w:val="002F3D30"/>
    <w:rsid w:val="002F41A4"/>
    <w:rsid w:val="002F48E3"/>
    <w:rsid w:val="002F6BBA"/>
    <w:rsid w:val="002F6DFA"/>
    <w:rsid w:val="002F7C5F"/>
    <w:rsid w:val="0030038F"/>
    <w:rsid w:val="00302D7F"/>
    <w:rsid w:val="00303C64"/>
    <w:rsid w:val="00305125"/>
    <w:rsid w:val="00306442"/>
    <w:rsid w:val="003069FB"/>
    <w:rsid w:val="00307CFE"/>
    <w:rsid w:val="00312C0C"/>
    <w:rsid w:val="00313AA2"/>
    <w:rsid w:val="00317D5C"/>
    <w:rsid w:val="003200C9"/>
    <w:rsid w:val="003209C7"/>
    <w:rsid w:val="003228C9"/>
    <w:rsid w:val="0032306D"/>
    <w:rsid w:val="00326170"/>
    <w:rsid w:val="003263E9"/>
    <w:rsid w:val="00326D35"/>
    <w:rsid w:val="00331183"/>
    <w:rsid w:val="00331B83"/>
    <w:rsid w:val="00332063"/>
    <w:rsid w:val="00332EAD"/>
    <w:rsid w:val="00333AB9"/>
    <w:rsid w:val="00333C06"/>
    <w:rsid w:val="0033459B"/>
    <w:rsid w:val="00335B36"/>
    <w:rsid w:val="00335BE8"/>
    <w:rsid w:val="00337C87"/>
    <w:rsid w:val="0034265F"/>
    <w:rsid w:val="003437DD"/>
    <w:rsid w:val="00343A49"/>
    <w:rsid w:val="003444DB"/>
    <w:rsid w:val="0034452C"/>
    <w:rsid w:val="0034642C"/>
    <w:rsid w:val="00346441"/>
    <w:rsid w:val="003475EC"/>
    <w:rsid w:val="003476D3"/>
    <w:rsid w:val="0035076B"/>
    <w:rsid w:val="00350B40"/>
    <w:rsid w:val="00352BEB"/>
    <w:rsid w:val="00353885"/>
    <w:rsid w:val="00354A58"/>
    <w:rsid w:val="00356070"/>
    <w:rsid w:val="00361D1D"/>
    <w:rsid w:val="00361EB1"/>
    <w:rsid w:val="003629D1"/>
    <w:rsid w:val="003637CE"/>
    <w:rsid w:val="003715EC"/>
    <w:rsid w:val="00373753"/>
    <w:rsid w:val="0037476F"/>
    <w:rsid w:val="003751C8"/>
    <w:rsid w:val="00376867"/>
    <w:rsid w:val="00376A96"/>
    <w:rsid w:val="003772AC"/>
    <w:rsid w:val="0038168A"/>
    <w:rsid w:val="00381E56"/>
    <w:rsid w:val="003826FF"/>
    <w:rsid w:val="00385595"/>
    <w:rsid w:val="00393D9D"/>
    <w:rsid w:val="00393E61"/>
    <w:rsid w:val="00396D02"/>
    <w:rsid w:val="003A0041"/>
    <w:rsid w:val="003A01C5"/>
    <w:rsid w:val="003A1C3E"/>
    <w:rsid w:val="003A2810"/>
    <w:rsid w:val="003A2970"/>
    <w:rsid w:val="003A5088"/>
    <w:rsid w:val="003A662B"/>
    <w:rsid w:val="003A7D80"/>
    <w:rsid w:val="003B0E46"/>
    <w:rsid w:val="003B14AA"/>
    <w:rsid w:val="003B19C7"/>
    <w:rsid w:val="003B23BC"/>
    <w:rsid w:val="003B25A5"/>
    <w:rsid w:val="003B3120"/>
    <w:rsid w:val="003B3537"/>
    <w:rsid w:val="003B567E"/>
    <w:rsid w:val="003B65DC"/>
    <w:rsid w:val="003B65F5"/>
    <w:rsid w:val="003B6932"/>
    <w:rsid w:val="003B79EB"/>
    <w:rsid w:val="003B7ED0"/>
    <w:rsid w:val="003C0D91"/>
    <w:rsid w:val="003C2F3D"/>
    <w:rsid w:val="003C3E42"/>
    <w:rsid w:val="003C4B05"/>
    <w:rsid w:val="003C578B"/>
    <w:rsid w:val="003C72E2"/>
    <w:rsid w:val="003D07D2"/>
    <w:rsid w:val="003D43AC"/>
    <w:rsid w:val="003D5024"/>
    <w:rsid w:val="003D5B84"/>
    <w:rsid w:val="003D6B19"/>
    <w:rsid w:val="003D79CF"/>
    <w:rsid w:val="003E0207"/>
    <w:rsid w:val="003E0E36"/>
    <w:rsid w:val="003E1678"/>
    <w:rsid w:val="003E304D"/>
    <w:rsid w:val="003E42D8"/>
    <w:rsid w:val="003E4A91"/>
    <w:rsid w:val="003E4AA5"/>
    <w:rsid w:val="003E4DD5"/>
    <w:rsid w:val="003F0964"/>
    <w:rsid w:val="003F10E7"/>
    <w:rsid w:val="003F18A1"/>
    <w:rsid w:val="003F1AD4"/>
    <w:rsid w:val="003F1D93"/>
    <w:rsid w:val="003F2EB6"/>
    <w:rsid w:val="003F316D"/>
    <w:rsid w:val="003F4897"/>
    <w:rsid w:val="003F48D4"/>
    <w:rsid w:val="003F6587"/>
    <w:rsid w:val="003F683E"/>
    <w:rsid w:val="003F6FEB"/>
    <w:rsid w:val="00402C7D"/>
    <w:rsid w:val="0040363F"/>
    <w:rsid w:val="00403A74"/>
    <w:rsid w:val="00404CEC"/>
    <w:rsid w:val="00407351"/>
    <w:rsid w:val="00407C2D"/>
    <w:rsid w:val="004106DF"/>
    <w:rsid w:val="00411A71"/>
    <w:rsid w:val="00411C0C"/>
    <w:rsid w:val="0041364A"/>
    <w:rsid w:val="0041399A"/>
    <w:rsid w:val="00414535"/>
    <w:rsid w:val="00414EA0"/>
    <w:rsid w:val="00416B0B"/>
    <w:rsid w:val="00420D64"/>
    <w:rsid w:val="00424E85"/>
    <w:rsid w:val="00425BE9"/>
    <w:rsid w:val="00425D4B"/>
    <w:rsid w:val="00426D7C"/>
    <w:rsid w:val="00427072"/>
    <w:rsid w:val="00427B5C"/>
    <w:rsid w:val="00432B09"/>
    <w:rsid w:val="0043585C"/>
    <w:rsid w:val="00441F35"/>
    <w:rsid w:val="00443205"/>
    <w:rsid w:val="004439D2"/>
    <w:rsid w:val="0044448B"/>
    <w:rsid w:val="004503E9"/>
    <w:rsid w:val="00453463"/>
    <w:rsid w:val="00453F49"/>
    <w:rsid w:val="004550E4"/>
    <w:rsid w:val="004637E8"/>
    <w:rsid w:val="0046732D"/>
    <w:rsid w:val="00467368"/>
    <w:rsid w:val="004674CD"/>
    <w:rsid w:val="004710EE"/>
    <w:rsid w:val="00472E56"/>
    <w:rsid w:val="004740EC"/>
    <w:rsid w:val="004750E1"/>
    <w:rsid w:val="004819CF"/>
    <w:rsid w:val="00481DA2"/>
    <w:rsid w:val="00482029"/>
    <w:rsid w:val="00482168"/>
    <w:rsid w:val="00482432"/>
    <w:rsid w:val="00483565"/>
    <w:rsid w:val="00484866"/>
    <w:rsid w:val="004859D6"/>
    <w:rsid w:val="00485FD1"/>
    <w:rsid w:val="0048797E"/>
    <w:rsid w:val="00487DD3"/>
    <w:rsid w:val="004902C8"/>
    <w:rsid w:val="004905D4"/>
    <w:rsid w:val="00492E44"/>
    <w:rsid w:val="004947B9"/>
    <w:rsid w:val="0049514C"/>
    <w:rsid w:val="0049620D"/>
    <w:rsid w:val="004963E0"/>
    <w:rsid w:val="00496DFD"/>
    <w:rsid w:val="004A0C8B"/>
    <w:rsid w:val="004A187E"/>
    <w:rsid w:val="004A1D04"/>
    <w:rsid w:val="004A1F5C"/>
    <w:rsid w:val="004A335F"/>
    <w:rsid w:val="004A3F3D"/>
    <w:rsid w:val="004A4646"/>
    <w:rsid w:val="004A4FDB"/>
    <w:rsid w:val="004A53ED"/>
    <w:rsid w:val="004A5BCF"/>
    <w:rsid w:val="004A5FC0"/>
    <w:rsid w:val="004A7C83"/>
    <w:rsid w:val="004B18D3"/>
    <w:rsid w:val="004B1FFE"/>
    <w:rsid w:val="004B2F8C"/>
    <w:rsid w:val="004B4EDE"/>
    <w:rsid w:val="004B589F"/>
    <w:rsid w:val="004B661B"/>
    <w:rsid w:val="004B76DC"/>
    <w:rsid w:val="004C0B2C"/>
    <w:rsid w:val="004C1267"/>
    <w:rsid w:val="004C1E2F"/>
    <w:rsid w:val="004C3BEB"/>
    <w:rsid w:val="004C4A3F"/>
    <w:rsid w:val="004C58C3"/>
    <w:rsid w:val="004C59ED"/>
    <w:rsid w:val="004C65D5"/>
    <w:rsid w:val="004D1340"/>
    <w:rsid w:val="004D7295"/>
    <w:rsid w:val="004D78C6"/>
    <w:rsid w:val="004E03B8"/>
    <w:rsid w:val="004E0B84"/>
    <w:rsid w:val="004E140A"/>
    <w:rsid w:val="004E154B"/>
    <w:rsid w:val="004E1914"/>
    <w:rsid w:val="004E3613"/>
    <w:rsid w:val="004E3AFD"/>
    <w:rsid w:val="004E3CAD"/>
    <w:rsid w:val="004E4FC8"/>
    <w:rsid w:val="004E6C69"/>
    <w:rsid w:val="004E7D77"/>
    <w:rsid w:val="004F101E"/>
    <w:rsid w:val="004F2A11"/>
    <w:rsid w:val="004F3166"/>
    <w:rsid w:val="004F3208"/>
    <w:rsid w:val="004F4003"/>
    <w:rsid w:val="004F45A9"/>
    <w:rsid w:val="004F54D2"/>
    <w:rsid w:val="004F6193"/>
    <w:rsid w:val="00500785"/>
    <w:rsid w:val="00501713"/>
    <w:rsid w:val="00501AE2"/>
    <w:rsid w:val="00505F41"/>
    <w:rsid w:val="0050794C"/>
    <w:rsid w:val="0051075B"/>
    <w:rsid w:val="00511236"/>
    <w:rsid w:val="00511539"/>
    <w:rsid w:val="00512DE0"/>
    <w:rsid w:val="0051361F"/>
    <w:rsid w:val="00515455"/>
    <w:rsid w:val="005160A8"/>
    <w:rsid w:val="00516317"/>
    <w:rsid w:val="00516AC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62E2"/>
    <w:rsid w:val="00547658"/>
    <w:rsid w:val="0054768C"/>
    <w:rsid w:val="0055343D"/>
    <w:rsid w:val="0055614B"/>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438F"/>
    <w:rsid w:val="005857EE"/>
    <w:rsid w:val="005877F2"/>
    <w:rsid w:val="00592442"/>
    <w:rsid w:val="0059283B"/>
    <w:rsid w:val="00593709"/>
    <w:rsid w:val="00593E92"/>
    <w:rsid w:val="005949F1"/>
    <w:rsid w:val="00594C35"/>
    <w:rsid w:val="005956F7"/>
    <w:rsid w:val="00595B9C"/>
    <w:rsid w:val="00595CB2"/>
    <w:rsid w:val="00596E02"/>
    <w:rsid w:val="005978C8"/>
    <w:rsid w:val="005A0A0F"/>
    <w:rsid w:val="005A1AD0"/>
    <w:rsid w:val="005A2361"/>
    <w:rsid w:val="005A24ED"/>
    <w:rsid w:val="005A2573"/>
    <w:rsid w:val="005A4783"/>
    <w:rsid w:val="005A6B87"/>
    <w:rsid w:val="005B0825"/>
    <w:rsid w:val="005B09D6"/>
    <w:rsid w:val="005B0A84"/>
    <w:rsid w:val="005B2D16"/>
    <w:rsid w:val="005B4DAF"/>
    <w:rsid w:val="005B56A0"/>
    <w:rsid w:val="005B5788"/>
    <w:rsid w:val="005B60D5"/>
    <w:rsid w:val="005B693A"/>
    <w:rsid w:val="005C11D6"/>
    <w:rsid w:val="005C12EA"/>
    <w:rsid w:val="005C1759"/>
    <w:rsid w:val="005C234E"/>
    <w:rsid w:val="005C407E"/>
    <w:rsid w:val="005D02EE"/>
    <w:rsid w:val="005D0C1B"/>
    <w:rsid w:val="005D210E"/>
    <w:rsid w:val="005D3D27"/>
    <w:rsid w:val="005D464B"/>
    <w:rsid w:val="005D7D3A"/>
    <w:rsid w:val="005D7EB1"/>
    <w:rsid w:val="005E1222"/>
    <w:rsid w:val="005E51F9"/>
    <w:rsid w:val="005E6EF7"/>
    <w:rsid w:val="005E736A"/>
    <w:rsid w:val="005E75FC"/>
    <w:rsid w:val="005F042D"/>
    <w:rsid w:val="005F3D02"/>
    <w:rsid w:val="005F3D1C"/>
    <w:rsid w:val="005F3DB6"/>
    <w:rsid w:val="005F534C"/>
    <w:rsid w:val="005F6936"/>
    <w:rsid w:val="005F72B7"/>
    <w:rsid w:val="005F75F8"/>
    <w:rsid w:val="006044C7"/>
    <w:rsid w:val="00604F7A"/>
    <w:rsid w:val="006123B6"/>
    <w:rsid w:val="00613977"/>
    <w:rsid w:val="0061627D"/>
    <w:rsid w:val="00617711"/>
    <w:rsid w:val="006206C7"/>
    <w:rsid w:val="00622EC4"/>
    <w:rsid w:val="00624406"/>
    <w:rsid w:val="0062488B"/>
    <w:rsid w:val="006323CC"/>
    <w:rsid w:val="0063271F"/>
    <w:rsid w:val="006327F1"/>
    <w:rsid w:val="00636167"/>
    <w:rsid w:val="00641C9C"/>
    <w:rsid w:val="00644417"/>
    <w:rsid w:val="00644764"/>
    <w:rsid w:val="00645B47"/>
    <w:rsid w:val="00645E78"/>
    <w:rsid w:val="00647075"/>
    <w:rsid w:val="00652EBE"/>
    <w:rsid w:val="006549EF"/>
    <w:rsid w:val="00655972"/>
    <w:rsid w:val="00655C14"/>
    <w:rsid w:val="006561CD"/>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3DA"/>
    <w:rsid w:val="00687CA7"/>
    <w:rsid w:val="00687CBE"/>
    <w:rsid w:val="00687D3A"/>
    <w:rsid w:val="006925E2"/>
    <w:rsid w:val="006928EA"/>
    <w:rsid w:val="00694869"/>
    <w:rsid w:val="006948CD"/>
    <w:rsid w:val="006A0231"/>
    <w:rsid w:val="006A090C"/>
    <w:rsid w:val="006A1384"/>
    <w:rsid w:val="006A34DA"/>
    <w:rsid w:val="006A5407"/>
    <w:rsid w:val="006A54C1"/>
    <w:rsid w:val="006A6246"/>
    <w:rsid w:val="006A6AEE"/>
    <w:rsid w:val="006A6B63"/>
    <w:rsid w:val="006B027E"/>
    <w:rsid w:val="006B0965"/>
    <w:rsid w:val="006B6754"/>
    <w:rsid w:val="006B71FD"/>
    <w:rsid w:val="006C0661"/>
    <w:rsid w:val="006C0AE1"/>
    <w:rsid w:val="006C0E3B"/>
    <w:rsid w:val="006C18AF"/>
    <w:rsid w:val="006C1D12"/>
    <w:rsid w:val="006C2842"/>
    <w:rsid w:val="006C5EC9"/>
    <w:rsid w:val="006C7C8B"/>
    <w:rsid w:val="006D039E"/>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6770"/>
    <w:rsid w:val="006F7480"/>
    <w:rsid w:val="006F7DB3"/>
    <w:rsid w:val="0070124C"/>
    <w:rsid w:val="007017C6"/>
    <w:rsid w:val="007027BB"/>
    <w:rsid w:val="00705140"/>
    <w:rsid w:val="007066C5"/>
    <w:rsid w:val="00710CA7"/>
    <w:rsid w:val="00712FFF"/>
    <w:rsid w:val="007142C8"/>
    <w:rsid w:val="007160E4"/>
    <w:rsid w:val="007170B4"/>
    <w:rsid w:val="00717A32"/>
    <w:rsid w:val="00720729"/>
    <w:rsid w:val="007212E2"/>
    <w:rsid w:val="00723CEB"/>
    <w:rsid w:val="00723DEB"/>
    <w:rsid w:val="007240E7"/>
    <w:rsid w:val="00724435"/>
    <w:rsid w:val="007252D9"/>
    <w:rsid w:val="007277F9"/>
    <w:rsid w:val="00731AEB"/>
    <w:rsid w:val="00735BBC"/>
    <w:rsid w:val="00740C36"/>
    <w:rsid w:val="00741A8F"/>
    <w:rsid w:val="00742008"/>
    <w:rsid w:val="00743BA0"/>
    <w:rsid w:val="00747DFD"/>
    <w:rsid w:val="00753B05"/>
    <w:rsid w:val="00753C3E"/>
    <w:rsid w:val="0075421E"/>
    <w:rsid w:val="00754329"/>
    <w:rsid w:val="007547A1"/>
    <w:rsid w:val="00754BA9"/>
    <w:rsid w:val="00755F3C"/>
    <w:rsid w:val="00756A93"/>
    <w:rsid w:val="00756D5A"/>
    <w:rsid w:val="0075769A"/>
    <w:rsid w:val="00757F49"/>
    <w:rsid w:val="0076278D"/>
    <w:rsid w:val="00765DEF"/>
    <w:rsid w:val="00766E46"/>
    <w:rsid w:val="00770662"/>
    <w:rsid w:val="00770E6E"/>
    <w:rsid w:val="00771A7C"/>
    <w:rsid w:val="0077230A"/>
    <w:rsid w:val="00772725"/>
    <w:rsid w:val="00773EB7"/>
    <w:rsid w:val="007751AA"/>
    <w:rsid w:val="00777AD7"/>
    <w:rsid w:val="00783957"/>
    <w:rsid w:val="00784C44"/>
    <w:rsid w:val="00785CF2"/>
    <w:rsid w:val="00786A78"/>
    <w:rsid w:val="007912CE"/>
    <w:rsid w:val="007934C4"/>
    <w:rsid w:val="0079451D"/>
    <w:rsid w:val="00795966"/>
    <w:rsid w:val="007A04C8"/>
    <w:rsid w:val="007A1AA6"/>
    <w:rsid w:val="007A2867"/>
    <w:rsid w:val="007A3102"/>
    <w:rsid w:val="007A3963"/>
    <w:rsid w:val="007A3B30"/>
    <w:rsid w:val="007A3FC0"/>
    <w:rsid w:val="007A49BA"/>
    <w:rsid w:val="007A609F"/>
    <w:rsid w:val="007A7484"/>
    <w:rsid w:val="007B3EF9"/>
    <w:rsid w:val="007B52F0"/>
    <w:rsid w:val="007B57A1"/>
    <w:rsid w:val="007B59B5"/>
    <w:rsid w:val="007B7535"/>
    <w:rsid w:val="007C0D3D"/>
    <w:rsid w:val="007C2A08"/>
    <w:rsid w:val="007C60D8"/>
    <w:rsid w:val="007D0AC6"/>
    <w:rsid w:val="007D2077"/>
    <w:rsid w:val="007D3388"/>
    <w:rsid w:val="007D4DC3"/>
    <w:rsid w:val="007D60C6"/>
    <w:rsid w:val="007D7A78"/>
    <w:rsid w:val="007E126E"/>
    <w:rsid w:val="007E161D"/>
    <w:rsid w:val="007E2F01"/>
    <w:rsid w:val="007E4721"/>
    <w:rsid w:val="007E5812"/>
    <w:rsid w:val="007E68A5"/>
    <w:rsid w:val="007F1EC7"/>
    <w:rsid w:val="007F286F"/>
    <w:rsid w:val="007F2C82"/>
    <w:rsid w:val="007F36F4"/>
    <w:rsid w:val="007F3EAF"/>
    <w:rsid w:val="007F40B0"/>
    <w:rsid w:val="007F5F38"/>
    <w:rsid w:val="007F665B"/>
    <w:rsid w:val="007F7C5D"/>
    <w:rsid w:val="008042C8"/>
    <w:rsid w:val="00805CFD"/>
    <w:rsid w:val="00807F15"/>
    <w:rsid w:val="0081359D"/>
    <w:rsid w:val="008136A0"/>
    <w:rsid w:val="00813CDD"/>
    <w:rsid w:val="00814164"/>
    <w:rsid w:val="00814801"/>
    <w:rsid w:val="00814AD7"/>
    <w:rsid w:val="00815A2E"/>
    <w:rsid w:val="008167BC"/>
    <w:rsid w:val="008168A5"/>
    <w:rsid w:val="008168B9"/>
    <w:rsid w:val="00817787"/>
    <w:rsid w:val="00820B4E"/>
    <w:rsid w:val="00822488"/>
    <w:rsid w:val="00822945"/>
    <w:rsid w:val="00823B38"/>
    <w:rsid w:val="00823F1C"/>
    <w:rsid w:val="00824697"/>
    <w:rsid w:val="00827A30"/>
    <w:rsid w:val="008318B8"/>
    <w:rsid w:val="00831DDD"/>
    <w:rsid w:val="00832386"/>
    <w:rsid w:val="00832D12"/>
    <w:rsid w:val="008332DA"/>
    <w:rsid w:val="008344C2"/>
    <w:rsid w:val="008347C9"/>
    <w:rsid w:val="008349E3"/>
    <w:rsid w:val="00834BAC"/>
    <w:rsid w:val="00836D01"/>
    <w:rsid w:val="00837165"/>
    <w:rsid w:val="008373F8"/>
    <w:rsid w:val="008379F3"/>
    <w:rsid w:val="00837EA3"/>
    <w:rsid w:val="00840495"/>
    <w:rsid w:val="00841254"/>
    <w:rsid w:val="008439A0"/>
    <w:rsid w:val="00843BE9"/>
    <w:rsid w:val="00847569"/>
    <w:rsid w:val="008508FF"/>
    <w:rsid w:val="00850C4E"/>
    <w:rsid w:val="00850CAC"/>
    <w:rsid w:val="0085238C"/>
    <w:rsid w:val="008525D4"/>
    <w:rsid w:val="008530DA"/>
    <w:rsid w:val="0085352C"/>
    <w:rsid w:val="008538D0"/>
    <w:rsid w:val="00853BF4"/>
    <w:rsid w:val="00854ED5"/>
    <w:rsid w:val="0085520C"/>
    <w:rsid w:val="00855965"/>
    <w:rsid w:val="00856356"/>
    <w:rsid w:val="008563F2"/>
    <w:rsid w:val="00856D75"/>
    <w:rsid w:val="00856F28"/>
    <w:rsid w:val="00860671"/>
    <w:rsid w:val="00860F0E"/>
    <w:rsid w:val="008625A6"/>
    <w:rsid w:val="00862CD2"/>
    <w:rsid w:val="0086508B"/>
    <w:rsid w:val="00865FB6"/>
    <w:rsid w:val="00866D5C"/>
    <w:rsid w:val="00866E4F"/>
    <w:rsid w:val="0087156B"/>
    <w:rsid w:val="008724A0"/>
    <w:rsid w:val="00872D7E"/>
    <w:rsid w:val="008754E6"/>
    <w:rsid w:val="0087776F"/>
    <w:rsid w:val="0088233C"/>
    <w:rsid w:val="0088280A"/>
    <w:rsid w:val="00883EB7"/>
    <w:rsid w:val="00884999"/>
    <w:rsid w:val="00892C9F"/>
    <w:rsid w:val="00892FBD"/>
    <w:rsid w:val="00893AD8"/>
    <w:rsid w:val="00893D2C"/>
    <w:rsid w:val="00894D11"/>
    <w:rsid w:val="0089523F"/>
    <w:rsid w:val="00895FAE"/>
    <w:rsid w:val="008967E5"/>
    <w:rsid w:val="00897BCF"/>
    <w:rsid w:val="008A07FE"/>
    <w:rsid w:val="008A12AD"/>
    <w:rsid w:val="008A1677"/>
    <w:rsid w:val="008A1D98"/>
    <w:rsid w:val="008A5452"/>
    <w:rsid w:val="008A585A"/>
    <w:rsid w:val="008A6436"/>
    <w:rsid w:val="008A6E5D"/>
    <w:rsid w:val="008B04B3"/>
    <w:rsid w:val="008B060F"/>
    <w:rsid w:val="008B144F"/>
    <w:rsid w:val="008B1A88"/>
    <w:rsid w:val="008B279B"/>
    <w:rsid w:val="008B3B85"/>
    <w:rsid w:val="008B42E3"/>
    <w:rsid w:val="008B4E8C"/>
    <w:rsid w:val="008B60B8"/>
    <w:rsid w:val="008B7CA2"/>
    <w:rsid w:val="008C12BE"/>
    <w:rsid w:val="008C1933"/>
    <w:rsid w:val="008C1B93"/>
    <w:rsid w:val="008C22C7"/>
    <w:rsid w:val="008C38EB"/>
    <w:rsid w:val="008C3B03"/>
    <w:rsid w:val="008C414B"/>
    <w:rsid w:val="008C54EA"/>
    <w:rsid w:val="008C6701"/>
    <w:rsid w:val="008C671C"/>
    <w:rsid w:val="008C6F4B"/>
    <w:rsid w:val="008D28A9"/>
    <w:rsid w:val="008D3BDF"/>
    <w:rsid w:val="008D53AB"/>
    <w:rsid w:val="008D6593"/>
    <w:rsid w:val="008D7EA2"/>
    <w:rsid w:val="008E0735"/>
    <w:rsid w:val="008E0F80"/>
    <w:rsid w:val="008E1CA4"/>
    <w:rsid w:val="008E211C"/>
    <w:rsid w:val="008E384C"/>
    <w:rsid w:val="008E3FAA"/>
    <w:rsid w:val="008E5278"/>
    <w:rsid w:val="008E737C"/>
    <w:rsid w:val="008F04A3"/>
    <w:rsid w:val="008F05B8"/>
    <w:rsid w:val="008F08A2"/>
    <w:rsid w:val="008F0C9D"/>
    <w:rsid w:val="008F0D5A"/>
    <w:rsid w:val="008F1C12"/>
    <w:rsid w:val="008F4813"/>
    <w:rsid w:val="008F5A4B"/>
    <w:rsid w:val="008F5EF9"/>
    <w:rsid w:val="008F5F6F"/>
    <w:rsid w:val="008F700A"/>
    <w:rsid w:val="008F7188"/>
    <w:rsid w:val="008F761C"/>
    <w:rsid w:val="00900EC1"/>
    <w:rsid w:val="00901214"/>
    <w:rsid w:val="00901E52"/>
    <w:rsid w:val="00903733"/>
    <w:rsid w:val="00904784"/>
    <w:rsid w:val="00904D6D"/>
    <w:rsid w:val="00904EC8"/>
    <w:rsid w:val="00906951"/>
    <w:rsid w:val="0091187A"/>
    <w:rsid w:val="00912FBC"/>
    <w:rsid w:val="00913D3B"/>
    <w:rsid w:val="00913E1F"/>
    <w:rsid w:val="00913F75"/>
    <w:rsid w:val="00916017"/>
    <w:rsid w:val="009162AB"/>
    <w:rsid w:val="00921D05"/>
    <w:rsid w:val="0092257C"/>
    <w:rsid w:val="00923121"/>
    <w:rsid w:val="00925CC8"/>
    <w:rsid w:val="00930799"/>
    <w:rsid w:val="009314C3"/>
    <w:rsid w:val="009317FD"/>
    <w:rsid w:val="009406FF"/>
    <w:rsid w:val="00941203"/>
    <w:rsid w:val="009416C1"/>
    <w:rsid w:val="0094264B"/>
    <w:rsid w:val="0094367D"/>
    <w:rsid w:val="00943FA1"/>
    <w:rsid w:val="00945A5C"/>
    <w:rsid w:val="00946389"/>
    <w:rsid w:val="0094738D"/>
    <w:rsid w:val="00947761"/>
    <w:rsid w:val="00950EF7"/>
    <w:rsid w:val="00952117"/>
    <w:rsid w:val="00954DC1"/>
    <w:rsid w:val="00955462"/>
    <w:rsid w:val="00956EB6"/>
    <w:rsid w:val="00956F83"/>
    <w:rsid w:val="0095703E"/>
    <w:rsid w:val="009575FD"/>
    <w:rsid w:val="00957C11"/>
    <w:rsid w:val="009617A9"/>
    <w:rsid w:val="009638A0"/>
    <w:rsid w:val="009665BE"/>
    <w:rsid w:val="00966BD1"/>
    <w:rsid w:val="009673AB"/>
    <w:rsid w:val="00970E84"/>
    <w:rsid w:val="00971153"/>
    <w:rsid w:val="00981036"/>
    <w:rsid w:val="00981E5F"/>
    <w:rsid w:val="00981F5C"/>
    <w:rsid w:val="00983846"/>
    <w:rsid w:val="00983A86"/>
    <w:rsid w:val="00990CC8"/>
    <w:rsid w:val="00991C30"/>
    <w:rsid w:val="0099227E"/>
    <w:rsid w:val="009949C5"/>
    <w:rsid w:val="00997C10"/>
    <w:rsid w:val="009A19B2"/>
    <w:rsid w:val="009A307F"/>
    <w:rsid w:val="009A3543"/>
    <w:rsid w:val="009B35F3"/>
    <w:rsid w:val="009B3EC0"/>
    <w:rsid w:val="009B4878"/>
    <w:rsid w:val="009B5FE8"/>
    <w:rsid w:val="009B62B1"/>
    <w:rsid w:val="009B76C2"/>
    <w:rsid w:val="009C080D"/>
    <w:rsid w:val="009C142A"/>
    <w:rsid w:val="009C5293"/>
    <w:rsid w:val="009D4058"/>
    <w:rsid w:val="009D41DF"/>
    <w:rsid w:val="009D482D"/>
    <w:rsid w:val="009D4B58"/>
    <w:rsid w:val="009D709E"/>
    <w:rsid w:val="009E0249"/>
    <w:rsid w:val="009E055A"/>
    <w:rsid w:val="009E0F0F"/>
    <w:rsid w:val="009E2DB3"/>
    <w:rsid w:val="009E36AC"/>
    <w:rsid w:val="009E41D1"/>
    <w:rsid w:val="009E4FB4"/>
    <w:rsid w:val="009E5694"/>
    <w:rsid w:val="009E585B"/>
    <w:rsid w:val="009E7D5A"/>
    <w:rsid w:val="009F040E"/>
    <w:rsid w:val="009F1F65"/>
    <w:rsid w:val="009F2BD7"/>
    <w:rsid w:val="009F2EF3"/>
    <w:rsid w:val="009F3146"/>
    <w:rsid w:val="009F724E"/>
    <w:rsid w:val="00A01765"/>
    <w:rsid w:val="00A02DD3"/>
    <w:rsid w:val="00A02F72"/>
    <w:rsid w:val="00A04D6C"/>
    <w:rsid w:val="00A05622"/>
    <w:rsid w:val="00A0753E"/>
    <w:rsid w:val="00A100B6"/>
    <w:rsid w:val="00A1136A"/>
    <w:rsid w:val="00A114B0"/>
    <w:rsid w:val="00A135A2"/>
    <w:rsid w:val="00A14324"/>
    <w:rsid w:val="00A1450C"/>
    <w:rsid w:val="00A16250"/>
    <w:rsid w:val="00A171DB"/>
    <w:rsid w:val="00A17296"/>
    <w:rsid w:val="00A17D28"/>
    <w:rsid w:val="00A21483"/>
    <w:rsid w:val="00A21621"/>
    <w:rsid w:val="00A22457"/>
    <w:rsid w:val="00A22900"/>
    <w:rsid w:val="00A25A0A"/>
    <w:rsid w:val="00A31E71"/>
    <w:rsid w:val="00A3312E"/>
    <w:rsid w:val="00A3340E"/>
    <w:rsid w:val="00A42248"/>
    <w:rsid w:val="00A426C8"/>
    <w:rsid w:val="00A42ABF"/>
    <w:rsid w:val="00A4427E"/>
    <w:rsid w:val="00A45398"/>
    <w:rsid w:val="00A45D7F"/>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57A49"/>
    <w:rsid w:val="00A60748"/>
    <w:rsid w:val="00A6214E"/>
    <w:rsid w:val="00A6261F"/>
    <w:rsid w:val="00A63643"/>
    <w:rsid w:val="00A662A3"/>
    <w:rsid w:val="00A6661A"/>
    <w:rsid w:val="00A6697F"/>
    <w:rsid w:val="00A67C16"/>
    <w:rsid w:val="00A71C8A"/>
    <w:rsid w:val="00A71ED6"/>
    <w:rsid w:val="00A760E0"/>
    <w:rsid w:val="00A77E76"/>
    <w:rsid w:val="00A80090"/>
    <w:rsid w:val="00A82320"/>
    <w:rsid w:val="00A82646"/>
    <w:rsid w:val="00A85A64"/>
    <w:rsid w:val="00A87F76"/>
    <w:rsid w:val="00A92430"/>
    <w:rsid w:val="00A93118"/>
    <w:rsid w:val="00A93D4E"/>
    <w:rsid w:val="00A94333"/>
    <w:rsid w:val="00A94C5E"/>
    <w:rsid w:val="00A950F7"/>
    <w:rsid w:val="00A960E6"/>
    <w:rsid w:val="00A962A0"/>
    <w:rsid w:val="00A97D90"/>
    <w:rsid w:val="00AA3EC5"/>
    <w:rsid w:val="00AA48F5"/>
    <w:rsid w:val="00AA49DE"/>
    <w:rsid w:val="00AA4B39"/>
    <w:rsid w:val="00AA512B"/>
    <w:rsid w:val="00AA57AE"/>
    <w:rsid w:val="00AA59BE"/>
    <w:rsid w:val="00AA608B"/>
    <w:rsid w:val="00AA77C0"/>
    <w:rsid w:val="00AB1CD7"/>
    <w:rsid w:val="00AB1F5C"/>
    <w:rsid w:val="00AB4311"/>
    <w:rsid w:val="00AB49DA"/>
    <w:rsid w:val="00AB4D16"/>
    <w:rsid w:val="00AB59A7"/>
    <w:rsid w:val="00AB68F7"/>
    <w:rsid w:val="00AB6EC6"/>
    <w:rsid w:val="00AC06A7"/>
    <w:rsid w:val="00AC077B"/>
    <w:rsid w:val="00AC0C82"/>
    <w:rsid w:val="00AC1F08"/>
    <w:rsid w:val="00AC374E"/>
    <w:rsid w:val="00AC60ED"/>
    <w:rsid w:val="00AD2373"/>
    <w:rsid w:val="00AD4DF3"/>
    <w:rsid w:val="00AD564C"/>
    <w:rsid w:val="00AD5713"/>
    <w:rsid w:val="00AD5DF4"/>
    <w:rsid w:val="00AD7639"/>
    <w:rsid w:val="00AE3182"/>
    <w:rsid w:val="00AE43A3"/>
    <w:rsid w:val="00AF095A"/>
    <w:rsid w:val="00AF1119"/>
    <w:rsid w:val="00AF59C3"/>
    <w:rsid w:val="00B011BB"/>
    <w:rsid w:val="00B012F2"/>
    <w:rsid w:val="00B0163B"/>
    <w:rsid w:val="00B04312"/>
    <w:rsid w:val="00B046BB"/>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024C"/>
    <w:rsid w:val="00B21966"/>
    <w:rsid w:val="00B22FFF"/>
    <w:rsid w:val="00B2363C"/>
    <w:rsid w:val="00B23AF9"/>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189E"/>
    <w:rsid w:val="00B64061"/>
    <w:rsid w:val="00B65BB6"/>
    <w:rsid w:val="00B7048C"/>
    <w:rsid w:val="00B71D8A"/>
    <w:rsid w:val="00B73F7D"/>
    <w:rsid w:val="00B743B9"/>
    <w:rsid w:val="00B75CEE"/>
    <w:rsid w:val="00B768D7"/>
    <w:rsid w:val="00B778A3"/>
    <w:rsid w:val="00B809F3"/>
    <w:rsid w:val="00B85932"/>
    <w:rsid w:val="00B87588"/>
    <w:rsid w:val="00B909E1"/>
    <w:rsid w:val="00B92474"/>
    <w:rsid w:val="00B93BF4"/>
    <w:rsid w:val="00BA00B7"/>
    <w:rsid w:val="00BA074F"/>
    <w:rsid w:val="00BA0A93"/>
    <w:rsid w:val="00BA2419"/>
    <w:rsid w:val="00BA2A58"/>
    <w:rsid w:val="00BA3D68"/>
    <w:rsid w:val="00BA4236"/>
    <w:rsid w:val="00BA646F"/>
    <w:rsid w:val="00BA7080"/>
    <w:rsid w:val="00BB0F2F"/>
    <w:rsid w:val="00BB1C66"/>
    <w:rsid w:val="00BB3596"/>
    <w:rsid w:val="00BB48F9"/>
    <w:rsid w:val="00BB524D"/>
    <w:rsid w:val="00BB5385"/>
    <w:rsid w:val="00BB5653"/>
    <w:rsid w:val="00BB6E3C"/>
    <w:rsid w:val="00BC06CF"/>
    <w:rsid w:val="00BC133D"/>
    <w:rsid w:val="00BC2AAF"/>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40F9"/>
    <w:rsid w:val="00BE520C"/>
    <w:rsid w:val="00BE65A1"/>
    <w:rsid w:val="00BF16AD"/>
    <w:rsid w:val="00BF2C8B"/>
    <w:rsid w:val="00BF2E46"/>
    <w:rsid w:val="00BF34A7"/>
    <w:rsid w:val="00BF3B14"/>
    <w:rsid w:val="00BF40C9"/>
    <w:rsid w:val="00BF58D3"/>
    <w:rsid w:val="00BF6218"/>
    <w:rsid w:val="00C00EA2"/>
    <w:rsid w:val="00C011EE"/>
    <w:rsid w:val="00C02535"/>
    <w:rsid w:val="00C0352A"/>
    <w:rsid w:val="00C0425B"/>
    <w:rsid w:val="00C04DE0"/>
    <w:rsid w:val="00C05811"/>
    <w:rsid w:val="00C06918"/>
    <w:rsid w:val="00C0712B"/>
    <w:rsid w:val="00C07227"/>
    <w:rsid w:val="00C07BEF"/>
    <w:rsid w:val="00C1015B"/>
    <w:rsid w:val="00C101D0"/>
    <w:rsid w:val="00C103A1"/>
    <w:rsid w:val="00C10A10"/>
    <w:rsid w:val="00C10D6A"/>
    <w:rsid w:val="00C10EC0"/>
    <w:rsid w:val="00C13B1E"/>
    <w:rsid w:val="00C13B9C"/>
    <w:rsid w:val="00C14063"/>
    <w:rsid w:val="00C14D95"/>
    <w:rsid w:val="00C15102"/>
    <w:rsid w:val="00C15A56"/>
    <w:rsid w:val="00C20353"/>
    <w:rsid w:val="00C2178D"/>
    <w:rsid w:val="00C220BF"/>
    <w:rsid w:val="00C22F0A"/>
    <w:rsid w:val="00C2325B"/>
    <w:rsid w:val="00C255F5"/>
    <w:rsid w:val="00C25B1C"/>
    <w:rsid w:val="00C26299"/>
    <w:rsid w:val="00C26C1B"/>
    <w:rsid w:val="00C311E4"/>
    <w:rsid w:val="00C31B4A"/>
    <w:rsid w:val="00C31BA9"/>
    <w:rsid w:val="00C322BB"/>
    <w:rsid w:val="00C33540"/>
    <w:rsid w:val="00C34F74"/>
    <w:rsid w:val="00C350F2"/>
    <w:rsid w:val="00C35B73"/>
    <w:rsid w:val="00C35B8F"/>
    <w:rsid w:val="00C35FBE"/>
    <w:rsid w:val="00C3666D"/>
    <w:rsid w:val="00C40E59"/>
    <w:rsid w:val="00C418BF"/>
    <w:rsid w:val="00C4258F"/>
    <w:rsid w:val="00C4349D"/>
    <w:rsid w:val="00C44562"/>
    <w:rsid w:val="00C453FB"/>
    <w:rsid w:val="00C45DED"/>
    <w:rsid w:val="00C4630B"/>
    <w:rsid w:val="00C50166"/>
    <w:rsid w:val="00C502FF"/>
    <w:rsid w:val="00C55BED"/>
    <w:rsid w:val="00C55D03"/>
    <w:rsid w:val="00C55F3E"/>
    <w:rsid w:val="00C57311"/>
    <w:rsid w:val="00C61929"/>
    <w:rsid w:val="00C62978"/>
    <w:rsid w:val="00C62BE3"/>
    <w:rsid w:val="00C62E71"/>
    <w:rsid w:val="00C63059"/>
    <w:rsid w:val="00C631FE"/>
    <w:rsid w:val="00C63C08"/>
    <w:rsid w:val="00C64B70"/>
    <w:rsid w:val="00C66CCC"/>
    <w:rsid w:val="00C676A4"/>
    <w:rsid w:val="00C67EA4"/>
    <w:rsid w:val="00C700B6"/>
    <w:rsid w:val="00C707CC"/>
    <w:rsid w:val="00C71061"/>
    <w:rsid w:val="00C7182A"/>
    <w:rsid w:val="00C723B3"/>
    <w:rsid w:val="00C72659"/>
    <w:rsid w:val="00C734AC"/>
    <w:rsid w:val="00C73BD7"/>
    <w:rsid w:val="00C74CE6"/>
    <w:rsid w:val="00C7516C"/>
    <w:rsid w:val="00C7529C"/>
    <w:rsid w:val="00C7599D"/>
    <w:rsid w:val="00C80CAC"/>
    <w:rsid w:val="00C814AA"/>
    <w:rsid w:val="00C81C9C"/>
    <w:rsid w:val="00C8516B"/>
    <w:rsid w:val="00C854C1"/>
    <w:rsid w:val="00C85B81"/>
    <w:rsid w:val="00C87A7F"/>
    <w:rsid w:val="00C911A9"/>
    <w:rsid w:val="00C9178F"/>
    <w:rsid w:val="00C92230"/>
    <w:rsid w:val="00C934A5"/>
    <w:rsid w:val="00C93F76"/>
    <w:rsid w:val="00C94ABF"/>
    <w:rsid w:val="00C954AC"/>
    <w:rsid w:val="00C9655A"/>
    <w:rsid w:val="00C96FCA"/>
    <w:rsid w:val="00C97507"/>
    <w:rsid w:val="00C9754D"/>
    <w:rsid w:val="00C975DF"/>
    <w:rsid w:val="00CA0C25"/>
    <w:rsid w:val="00CA5875"/>
    <w:rsid w:val="00CA5D84"/>
    <w:rsid w:val="00CB0619"/>
    <w:rsid w:val="00CB58D4"/>
    <w:rsid w:val="00CB6004"/>
    <w:rsid w:val="00CC00F2"/>
    <w:rsid w:val="00CC1960"/>
    <w:rsid w:val="00CC409C"/>
    <w:rsid w:val="00CD304C"/>
    <w:rsid w:val="00CD423B"/>
    <w:rsid w:val="00CD4F70"/>
    <w:rsid w:val="00CD7FCC"/>
    <w:rsid w:val="00CE0FAB"/>
    <w:rsid w:val="00CE1CF3"/>
    <w:rsid w:val="00CE284A"/>
    <w:rsid w:val="00CE4BC0"/>
    <w:rsid w:val="00CE5C24"/>
    <w:rsid w:val="00CE70F3"/>
    <w:rsid w:val="00CE74A2"/>
    <w:rsid w:val="00CE7659"/>
    <w:rsid w:val="00CF0E18"/>
    <w:rsid w:val="00CF29A4"/>
    <w:rsid w:val="00CF2F2E"/>
    <w:rsid w:val="00CF30A9"/>
    <w:rsid w:val="00CF4D01"/>
    <w:rsid w:val="00CF624D"/>
    <w:rsid w:val="00CF6E34"/>
    <w:rsid w:val="00D008F3"/>
    <w:rsid w:val="00D0495F"/>
    <w:rsid w:val="00D049E6"/>
    <w:rsid w:val="00D0506E"/>
    <w:rsid w:val="00D050FB"/>
    <w:rsid w:val="00D060CE"/>
    <w:rsid w:val="00D066D9"/>
    <w:rsid w:val="00D076EF"/>
    <w:rsid w:val="00D07776"/>
    <w:rsid w:val="00D07778"/>
    <w:rsid w:val="00D108C5"/>
    <w:rsid w:val="00D10D7A"/>
    <w:rsid w:val="00D1187F"/>
    <w:rsid w:val="00D11C2D"/>
    <w:rsid w:val="00D14C4E"/>
    <w:rsid w:val="00D15697"/>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2F5"/>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222D"/>
    <w:rsid w:val="00D82635"/>
    <w:rsid w:val="00D84CA9"/>
    <w:rsid w:val="00D879AF"/>
    <w:rsid w:val="00D9045B"/>
    <w:rsid w:val="00D90EA9"/>
    <w:rsid w:val="00D93083"/>
    <w:rsid w:val="00D941C3"/>
    <w:rsid w:val="00D94A99"/>
    <w:rsid w:val="00D95324"/>
    <w:rsid w:val="00D95482"/>
    <w:rsid w:val="00DA0390"/>
    <w:rsid w:val="00DA1940"/>
    <w:rsid w:val="00DA3BBA"/>
    <w:rsid w:val="00DA3C3C"/>
    <w:rsid w:val="00DA40B6"/>
    <w:rsid w:val="00DA7399"/>
    <w:rsid w:val="00DB05EC"/>
    <w:rsid w:val="00DB166E"/>
    <w:rsid w:val="00DB3D8C"/>
    <w:rsid w:val="00DB3E4C"/>
    <w:rsid w:val="00DB43B8"/>
    <w:rsid w:val="00DB5CFD"/>
    <w:rsid w:val="00DB7BD1"/>
    <w:rsid w:val="00DB7C8A"/>
    <w:rsid w:val="00DC105F"/>
    <w:rsid w:val="00DC221E"/>
    <w:rsid w:val="00DC2B92"/>
    <w:rsid w:val="00DC2DC5"/>
    <w:rsid w:val="00DC341B"/>
    <w:rsid w:val="00DD0E87"/>
    <w:rsid w:val="00DD2BCD"/>
    <w:rsid w:val="00DD35E7"/>
    <w:rsid w:val="00DD5486"/>
    <w:rsid w:val="00DD650E"/>
    <w:rsid w:val="00DD7968"/>
    <w:rsid w:val="00DE0B7E"/>
    <w:rsid w:val="00DE108E"/>
    <w:rsid w:val="00DE1418"/>
    <w:rsid w:val="00DE2205"/>
    <w:rsid w:val="00DE421E"/>
    <w:rsid w:val="00DE5454"/>
    <w:rsid w:val="00DE6831"/>
    <w:rsid w:val="00DE7F41"/>
    <w:rsid w:val="00DF0F50"/>
    <w:rsid w:val="00DF2309"/>
    <w:rsid w:val="00DF28DC"/>
    <w:rsid w:val="00DF3742"/>
    <w:rsid w:val="00DF3915"/>
    <w:rsid w:val="00DF44AC"/>
    <w:rsid w:val="00DF4CE2"/>
    <w:rsid w:val="00DF5FC6"/>
    <w:rsid w:val="00E0168F"/>
    <w:rsid w:val="00E0211B"/>
    <w:rsid w:val="00E030D4"/>
    <w:rsid w:val="00E06A56"/>
    <w:rsid w:val="00E12071"/>
    <w:rsid w:val="00E12660"/>
    <w:rsid w:val="00E127A7"/>
    <w:rsid w:val="00E12838"/>
    <w:rsid w:val="00E15BBF"/>
    <w:rsid w:val="00E15ECD"/>
    <w:rsid w:val="00E16B88"/>
    <w:rsid w:val="00E230D8"/>
    <w:rsid w:val="00E239E2"/>
    <w:rsid w:val="00E23F00"/>
    <w:rsid w:val="00E253A5"/>
    <w:rsid w:val="00E2540E"/>
    <w:rsid w:val="00E2599A"/>
    <w:rsid w:val="00E26A0F"/>
    <w:rsid w:val="00E305A0"/>
    <w:rsid w:val="00E318D4"/>
    <w:rsid w:val="00E3382D"/>
    <w:rsid w:val="00E339EE"/>
    <w:rsid w:val="00E3557A"/>
    <w:rsid w:val="00E4014C"/>
    <w:rsid w:val="00E401FC"/>
    <w:rsid w:val="00E42D1B"/>
    <w:rsid w:val="00E43E2C"/>
    <w:rsid w:val="00E449D6"/>
    <w:rsid w:val="00E4558E"/>
    <w:rsid w:val="00E46437"/>
    <w:rsid w:val="00E46C0B"/>
    <w:rsid w:val="00E46FAB"/>
    <w:rsid w:val="00E474DC"/>
    <w:rsid w:val="00E50071"/>
    <w:rsid w:val="00E5155C"/>
    <w:rsid w:val="00E52FF2"/>
    <w:rsid w:val="00E5316B"/>
    <w:rsid w:val="00E5385B"/>
    <w:rsid w:val="00E53AD5"/>
    <w:rsid w:val="00E55EA9"/>
    <w:rsid w:val="00E56307"/>
    <w:rsid w:val="00E56D55"/>
    <w:rsid w:val="00E56F52"/>
    <w:rsid w:val="00E57D47"/>
    <w:rsid w:val="00E57F76"/>
    <w:rsid w:val="00E60696"/>
    <w:rsid w:val="00E607BC"/>
    <w:rsid w:val="00E6152A"/>
    <w:rsid w:val="00E619D6"/>
    <w:rsid w:val="00E62028"/>
    <w:rsid w:val="00E6312B"/>
    <w:rsid w:val="00E6393C"/>
    <w:rsid w:val="00E65719"/>
    <w:rsid w:val="00E67E51"/>
    <w:rsid w:val="00E70839"/>
    <w:rsid w:val="00E7146A"/>
    <w:rsid w:val="00E75C1E"/>
    <w:rsid w:val="00E7616E"/>
    <w:rsid w:val="00E76BE0"/>
    <w:rsid w:val="00E7790B"/>
    <w:rsid w:val="00E77E1F"/>
    <w:rsid w:val="00E80CC9"/>
    <w:rsid w:val="00E81714"/>
    <w:rsid w:val="00E83BA5"/>
    <w:rsid w:val="00E91546"/>
    <w:rsid w:val="00E91678"/>
    <w:rsid w:val="00E9206E"/>
    <w:rsid w:val="00E93438"/>
    <w:rsid w:val="00E93F64"/>
    <w:rsid w:val="00E94443"/>
    <w:rsid w:val="00E94D9E"/>
    <w:rsid w:val="00E95165"/>
    <w:rsid w:val="00E95DF7"/>
    <w:rsid w:val="00E96092"/>
    <w:rsid w:val="00E96737"/>
    <w:rsid w:val="00E96B5C"/>
    <w:rsid w:val="00EA0668"/>
    <w:rsid w:val="00EA127F"/>
    <w:rsid w:val="00EA1F53"/>
    <w:rsid w:val="00EA2C41"/>
    <w:rsid w:val="00EA35DA"/>
    <w:rsid w:val="00EA4376"/>
    <w:rsid w:val="00EA70DC"/>
    <w:rsid w:val="00EB01FF"/>
    <w:rsid w:val="00EB06C6"/>
    <w:rsid w:val="00EB0F80"/>
    <w:rsid w:val="00EB1B47"/>
    <w:rsid w:val="00EB2E9E"/>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0F57"/>
    <w:rsid w:val="00EE10AE"/>
    <w:rsid w:val="00EE2DA2"/>
    <w:rsid w:val="00EE4290"/>
    <w:rsid w:val="00EE540B"/>
    <w:rsid w:val="00EE589E"/>
    <w:rsid w:val="00EE76D0"/>
    <w:rsid w:val="00EE7C89"/>
    <w:rsid w:val="00EE7FB7"/>
    <w:rsid w:val="00EF1185"/>
    <w:rsid w:val="00EF3BB8"/>
    <w:rsid w:val="00EF754D"/>
    <w:rsid w:val="00F027E9"/>
    <w:rsid w:val="00F06C79"/>
    <w:rsid w:val="00F0775E"/>
    <w:rsid w:val="00F10EDB"/>
    <w:rsid w:val="00F141BE"/>
    <w:rsid w:val="00F15BF4"/>
    <w:rsid w:val="00F15F69"/>
    <w:rsid w:val="00F1612D"/>
    <w:rsid w:val="00F173DD"/>
    <w:rsid w:val="00F17544"/>
    <w:rsid w:val="00F20B60"/>
    <w:rsid w:val="00F21119"/>
    <w:rsid w:val="00F231C0"/>
    <w:rsid w:val="00F25164"/>
    <w:rsid w:val="00F26AEE"/>
    <w:rsid w:val="00F277D3"/>
    <w:rsid w:val="00F30997"/>
    <w:rsid w:val="00F31893"/>
    <w:rsid w:val="00F32896"/>
    <w:rsid w:val="00F33C08"/>
    <w:rsid w:val="00F35ADB"/>
    <w:rsid w:val="00F35CC4"/>
    <w:rsid w:val="00F41AE7"/>
    <w:rsid w:val="00F41F44"/>
    <w:rsid w:val="00F42D17"/>
    <w:rsid w:val="00F4376B"/>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6048"/>
    <w:rsid w:val="00F73E78"/>
    <w:rsid w:val="00F740C2"/>
    <w:rsid w:val="00F7591E"/>
    <w:rsid w:val="00F75EF9"/>
    <w:rsid w:val="00F77A9B"/>
    <w:rsid w:val="00F80013"/>
    <w:rsid w:val="00F83035"/>
    <w:rsid w:val="00F83869"/>
    <w:rsid w:val="00F866B0"/>
    <w:rsid w:val="00F869EF"/>
    <w:rsid w:val="00F86BE4"/>
    <w:rsid w:val="00F86C7B"/>
    <w:rsid w:val="00F86D61"/>
    <w:rsid w:val="00F905B6"/>
    <w:rsid w:val="00F90B31"/>
    <w:rsid w:val="00F911B5"/>
    <w:rsid w:val="00F914B2"/>
    <w:rsid w:val="00F926B9"/>
    <w:rsid w:val="00F95180"/>
    <w:rsid w:val="00F9541D"/>
    <w:rsid w:val="00FA0403"/>
    <w:rsid w:val="00FA0CE6"/>
    <w:rsid w:val="00FA35FB"/>
    <w:rsid w:val="00FA3C92"/>
    <w:rsid w:val="00FA5742"/>
    <w:rsid w:val="00FA597D"/>
    <w:rsid w:val="00FA5B9A"/>
    <w:rsid w:val="00FB01B9"/>
    <w:rsid w:val="00FB0248"/>
    <w:rsid w:val="00FB06F5"/>
    <w:rsid w:val="00FB763A"/>
    <w:rsid w:val="00FB79C0"/>
    <w:rsid w:val="00FC2EB8"/>
    <w:rsid w:val="00FC4073"/>
    <w:rsid w:val="00FC55E1"/>
    <w:rsid w:val="00FC5C43"/>
    <w:rsid w:val="00FD1598"/>
    <w:rsid w:val="00FD4E21"/>
    <w:rsid w:val="00FD576E"/>
    <w:rsid w:val="00FD596B"/>
    <w:rsid w:val="00FD65BA"/>
    <w:rsid w:val="00FE58CC"/>
    <w:rsid w:val="00FE61C6"/>
    <w:rsid w:val="00FE75A9"/>
    <w:rsid w:val="00FF058D"/>
    <w:rsid w:val="00FF1D8E"/>
    <w:rsid w:val="00FF2440"/>
    <w:rsid w:val="00FF322C"/>
    <w:rsid w:val="00FF35C0"/>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uiPriority w:val="1"/>
    <w:qFormat/>
    <w:rsid w:val="00C15A56"/>
    <w:pPr>
      <w:keepNext/>
      <w:spacing w:line="480" w:lineRule="auto"/>
      <w:jc w:val="center"/>
      <w:outlineLvl w:val="0"/>
    </w:pPr>
    <w:rPr>
      <w:b/>
      <w:bCs/>
    </w:rPr>
  </w:style>
  <w:style w:type="paragraph" w:styleId="Heading2">
    <w:name w:val="heading 2"/>
    <w:basedOn w:val="Normal"/>
    <w:next w:val="Normal"/>
    <w:link w:val="Heading2Char"/>
    <w:uiPriority w:val="1"/>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uiPriority w:val="99"/>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uiPriority w:val="1"/>
    <w:qFormat/>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qFormat/>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table" w:styleId="TableGridLight">
    <w:name w:val="Grid Table Light"/>
    <w:basedOn w:val="TableNormal"/>
    <w:uiPriority w:val="40"/>
    <w:rsid w:val="00CD30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0665D4"/>
  </w:style>
  <w:style w:type="character" w:customStyle="1" w:styleId="FootnoteTextChar">
    <w:name w:val="Footnote Text Char"/>
    <w:basedOn w:val="DefaultParagraphFont"/>
    <w:link w:val="FootnoteText"/>
    <w:uiPriority w:val="99"/>
    <w:semiHidden/>
    <w:rsid w:val="005F72B7"/>
    <w:rPr>
      <w:rFonts w:cs="Traditional Arabic"/>
      <w:lang w:eastAsia="ko-KR"/>
    </w:rPr>
  </w:style>
  <w:style w:type="character" w:customStyle="1" w:styleId="Heading1Char">
    <w:name w:val="Heading 1 Char"/>
    <w:basedOn w:val="DefaultParagraphFont"/>
    <w:link w:val="Heading1"/>
    <w:uiPriority w:val="9"/>
    <w:rsid w:val="005F72B7"/>
    <w:rPr>
      <w:b/>
      <w:bCs/>
    </w:rPr>
  </w:style>
  <w:style w:type="character" w:customStyle="1" w:styleId="Heading3Char">
    <w:name w:val="Heading 3 Char"/>
    <w:basedOn w:val="DefaultParagraphFont"/>
    <w:link w:val="Heading3"/>
    <w:uiPriority w:val="9"/>
    <w:rsid w:val="005F72B7"/>
    <w:rPr>
      <w:rFonts w:ascii="Arial" w:hAnsi="Arial" w:cs="Arial"/>
      <w:b/>
      <w:bCs/>
      <w:sz w:val="26"/>
      <w:szCs w:val="26"/>
    </w:rPr>
  </w:style>
  <w:style w:type="character" w:customStyle="1" w:styleId="Heading4Char">
    <w:name w:val="Heading 4 Char"/>
    <w:basedOn w:val="DefaultParagraphFont"/>
    <w:link w:val="Heading4"/>
    <w:uiPriority w:val="9"/>
    <w:rsid w:val="005F72B7"/>
    <w:rPr>
      <w:b/>
      <w:bCs/>
      <w:sz w:val="28"/>
      <w:szCs w:val="28"/>
    </w:rPr>
  </w:style>
  <w:style w:type="character" w:customStyle="1" w:styleId="Heading5Char">
    <w:name w:val="Heading 5 Char"/>
    <w:basedOn w:val="DefaultParagraphFont"/>
    <w:link w:val="Heading5"/>
    <w:uiPriority w:val="9"/>
    <w:rsid w:val="005F72B7"/>
    <w:rPr>
      <w:b/>
      <w:bCs/>
      <w:i/>
      <w:iCs/>
      <w:sz w:val="26"/>
      <w:szCs w:val="26"/>
    </w:rPr>
  </w:style>
  <w:style w:type="paragraph" w:styleId="Revision">
    <w:name w:val="Revision"/>
    <w:hidden/>
    <w:uiPriority w:val="99"/>
    <w:semiHidden/>
    <w:rsid w:val="005F72B7"/>
    <w:rPr>
      <w:rFonts w:asciiTheme="minorHAnsi" w:eastAsiaTheme="minorHAnsi" w:hAnsiTheme="minorHAnsi" w:cstheme="minorBidi"/>
      <w:kern w:val="2"/>
      <w:sz w:val="22"/>
      <w:szCs w:val="22"/>
      <w14:ligatures w14:val="standardContextual"/>
    </w:rPr>
  </w:style>
  <w:style w:type="table" w:styleId="GridTable3">
    <w:name w:val="Grid Table 3"/>
    <w:basedOn w:val="TableNormal"/>
    <w:uiPriority w:val="48"/>
    <w:rsid w:val="00E80C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1">
    <w:name w:val="List Table 6 Colorful Accent 1"/>
    <w:basedOn w:val="TableNormal"/>
    <w:uiPriority w:val="51"/>
    <w:rsid w:val="00E80CC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7Colorful-Accent5">
    <w:name w:val="List Table 7 Colorful Accent 5"/>
    <w:basedOn w:val="TableNormal"/>
    <w:uiPriority w:val="52"/>
    <w:rsid w:val="00E80CC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F2E4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0C3B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CE74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alloonTextChar">
    <w:name w:val="Balloon Text Char"/>
    <w:basedOn w:val="DefaultParagraphFont"/>
    <w:link w:val="BalloonText"/>
    <w:uiPriority w:val="99"/>
    <w:semiHidden/>
    <w:rsid w:val="00245469"/>
    <w:rPr>
      <w:rFonts w:ascii="Tahoma" w:hAnsi="Tahoma"/>
      <w:sz w:val="16"/>
      <w:szCs w:val="16"/>
    </w:rPr>
  </w:style>
  <w:style w:type="character" w:styleId="CommentReference">
    <w:name w:val="annotation reference"/>
    <w:basedOn w:val="DefaultParagraphFont"/>
    <w:uiPriority w:val="99"/>
    <w:semiHidden/>
    <w:unhideWhenUsed/>
    <w:rsid w:val="00245469"/>
    <w:rPr>
      <w:sz w:val="16"/>
      <w:szCs w:val="16"/>
    </w:rPr>
  </w:style>
  <w:style w:type="paragraph" w:styleId="CommentText">
    <w:name w:val="annotation text"/>
    <w:basedOn w:val="Normal"/>
    <w:link w:val="CommentTextChar"/>
    <w:uiPriority w:val="99"/>
    <w:unhideWhenUsed/>
    <w:rsid w:val="00245469"/>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45469"/>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45469"/>
    <w:rPr>
      <w:b/>
      <w:bCs/>
    </w:rPr>
  </w:style>
  <w:style w:type="character" w:customStyle="1" w:styleId="CommentSubjectChar">
    <w:name w:val="Comment Subject Char"/>
    <w:basedOn w:val="CommentTextChar"/>
    <w:link w:val="CommentSubject"/>
    <w:uiPriority w:val="99"/>
    <w:semiHidden/>
    <w:rsid w:val="00245469"/>
    <w:rPr>
      <w:rFonts w:asciiTheme="minorHAnsi" w:eastAsiaTheme="minorHAnsi" w:hAnsiTheme="minorHAnsi" w:cstheme="minorBidi"/>
      <w:b/>
      <w:bCs/>
    </w:rPr>
  </w:style>
  <w:style w:type="character" w:customStyle="1" w:styleId="ParagraphsChar">
    <w:name w:val="Paragraphs Char"/>
    <w:basedOn w:val="DefaultParagraphFont"/>
    <w:link w:val="Paragraphs"/>
    <w:uiPriority w:val="3"/>
    <w:locked/>
    <w:rsid w:val="00245469"/>
  </w:style>
  <w:style w:type="paragraph" w:customStyle="1" w:styleId="Paragraphs">
    <w:name w:val="Paragraphs"/>
    <w:link w:val="ParagraphsChar"/>
    <w:uiPriority w:val="3"/>
    <w:qFormat/>
    <w:rsid w:val="00245469"/>
    <w:pPr>
      <w:spacing w:line="480" w:lineRule="auto"/>
      <w:ind w:firstLine="720"/>
    </w:pPr>
  </w:style>
  <w:style w:type="paragraph" w:customStyle="1" w:styleId="p1">
    <w:name w:val="p1"/>
    <w:basedOn w:val="Normal"/>
    <w:rsid w:val="00245469"/>
    <w:rPr>
      <w:rFonts w:ascii="Helvetica" w:hAnsi="Helvetica"/>
      <w:sz w:val="18"/>
      <w:szCs w:val="18"/>
    </w:rPr>
  </w:style>
  <w:style w:type="paragraph" w:styleId="TOC1">
    <w:name w:val="toc 1"/>
    <w:basedOn w:val="Normal"/>
    <w:next w:val="Normal"/>
    <w:autoRedefine/>
    <w:uiPriority w:val="1"/>
    <w:unhideWhenUsed/>
    <w:qFormat/>
    <w:rsid w:val="00245469"/>
    <w:pPr>
      <w:tabs>
        <w:tab w:val="right" w:leader="dot" w:pos="8630"/>
      </w:tabs>
      <w:spacing w:before="120"/>
    </w:pPr>
    <w:rPr>
      <w:rFonts w:asciiTheme="minorHAnsi" w:eastAsiaTheme="minorHAnsi" w:hAnsiTheme="minorHAnsi" w:cstheme="minorHAnsi"/>
      <w:b/>
      <w:bCs/>
      <w:i/>
      <w:iCs/>
      <w:sz w:val="24"/>
      <w:szCs w:val="24"/>
    </w:rPr>
  </w:style>
  <w:style w:type="character" w:styleId="FollowedHyperlink">
    <w:name w:val="FollowedHyperlink"/>
    <w:basedOn w:val="DefaultParagraphFont"/>
    <w:uiPriority w:val="99"/>
    <w:semiHidden/>
    <w:unhideWhenUsed/>
    <w:rsid w:val="00245469"/>
    <w:rPr>
      <w:color w:val="800080" w:themeColor="followedHyperlink"/>
      <w:u w:val="single"/>
    </w:rPr>
  </w:style>
  <w:style w:type="character" w:styleId="PlaceholderText">
    <w:name w:val="Placeholder Text"/>
    <w:basedOn w:val="DefaultParagraphFont"/>
    <w:uiPriority w:val="99"/>
    <w:semiHidden/>
    <w:rsid w:val="00245469"/>
    <w:rPr>
      <w:color w:val="808080"/>
    </w:rPr>
  </w:style>
  <w:style w:type="paragraph" w:styleId="TOCHeading">
    <w:name w:val="TOC Heading"/>
    <w:basedOn w:val="Heading1"/>
    <w:next w:val="Normal"/>
    <w:uiPriority w:val="39"/>
    <w:unhideWhenUsed/>
    <w:qFormat/>
    <w:rsid w:val="00245469"/>
    <w:pPr>
      <w:keepLines/>
      <w:spacing w:before="480" w:line="276" w:lineRule="auto"/>
      <w:outlineLvl w:val="9"/>
    </w:pPr>
    <w:rPr>
      <w:rFonts w:eastAsiaTheme="majorEastAsia" w:cstheme="majorBidi"/>
      <w:b w:val="0"/>
      <w:sz w:val="28"/>
      <w:szCs w:val="28"/>
    </w:rPr>
  </w:style>
  <w:style w:type="paragraph" w:styleId="TOC2">
    <w:name w:val="toc 2"/>
    <w:basedOn w:val="Normal"/>
    <w:next w:val="Normal"/>
    <w:autoRedefine/>
    <w:uiPriority w:val="1"/>
    <w:unhideWhenUsed/>
    <w:qFormat/>
    <w:rsid w:val="00245469"/>
    <w:pPr>
      <w:spacing w:before="120"/>
      <w:ind w:left="24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45469"/>
    <w:pPr>
      <w:ind w:left="480"/>
    </w:pPr>
    <w:rPr>
      <w:rFonts w:asciiTheme="minorHAnsi" w:eastAsiaTheme="minorHAnsi" w:hAnsiTheme="minorHAnsi" w:cstheme="minorHAnsi"/>
    </w:rPr>
  </w:style>
  <w:style w:type="paragraph" w:styleId="TOC4">
    <w:name w:val="toc 4"/>
    <w:basedOn w:val="Normal"/>
    <w:next w:val="Normal"/>
    <w:autoRedefine/>
    <w:uiPriority w:val="39"/>
    <w:semiHidden/>
    <w:unhideWhenUsed/>
    <w:rsid w:val="00245469"/>
    <w:pPr>
      <w:ind w:left="720"/>
    </w:pPr>
    <w:rPr>
      <w:rFonts w:asciiTheme="minorHAnsi" w:eastAsiaTheme="minorHAnsi" w:hAnsiTheme="minorHAnsi" w:cstheme="minorHAnsi"/>
    </w:rPr>
  </w:style>
  <w:style w:type="paragraph" w:styleId="TOC5">
    <w:name w:val="toc 5"/>
    <w:basedOn w:val="Normal"/>
    <w:next w:val="Normal"/>
    <w:autoRedefine/>
    <w:uiPriority w:val="39"/>
    <w:semiHidden/>
    <w:unhideWhenUsed/>
    <w:rsid w:val="00245469"/>
    <w:pPr>
      <w:ind w:left="960"/>
    </w:pPr>
    <w:rPr>
      <w:rFonts w:asciiTheme="minorHAnsi" w:eastAsiaTheme="minorHAnsi" w:hAnsiTheme="minorHAnsi" w:cstheme="minorHAnsi"/>
    </w:rPr>
  </w:style>
  <w:style w:type="paragraph" w:styleId="TOC6">
    <w:name w:val="toc 6"/>
    <w:basedOn w:val="Normal"/>
    <w:next w:val="Normal"/>
    <w:autoRedefine/>
    <w:uiPriority w:val="39"/>
    <w:semiHidden/>
    <w:unhideWhenUsed/>
    <w:rsid w:val="00245469"/>
    <w:pPr>
      <w:ind w:left="1200"/>
    </w:pPr>
    <w:rPr>
      <w:rFonts w:asciiTheme="minorHAnsi" w:eastAsiaTheme="minorHAnsi" w:hAnsiTheme="minorHAnsi" w:cstheme="minorHAnsi"/>
    </w:rPr>
  </w:style>
  <w:style w:type="paragraph" w:styleId="TOC7">
    <w:name w:val="toc 7"/>
    <w:basedOn w:val="Normal"/>
    <w:next w:val="Normal"/>
    <w:autoRedefine/>
    <w:uiPriority w:val="39"/>
    <w:semiHidden/>
    <w:unhideWhenUsed/>
    <w:rsid w:val="00245469"/>
    <w:pPr>
      <w:ind w:left="1440"/>
    </w:pPr>
    <w:rPr>
      <w:rFonts w:asciiTheme="minorHAnsi" w:eastAsiaTheme="minorHAnsi" w:hAnsiTheme="minorHAnsi" w:cstheme="minorHAnsi"/>
    </w:rPr>
  </w:style>
  <w:style w:type="paragraph" w:styleId="TOC8">
    <w:name w:val="toc 8"/>
    <w:basedOn w:val="Normal"/>
    <w:next w:val="Normal"/>
    <w:autoRedefine/>
    <w:uiPriority w:val="39"/>
    <w:semiHidden/>
    <w:unhideWhenUsed/>
    <w:rsid w:val="00245469"/>
    <w:pPr>
      <w:ind w:left="1680"/>
    </w:pPr>
    <w:rPr>
      <w:rFonts w:asciiTheme="minorHAnsi" w:eastAsiaTheme="minorHAnsi" w:hAnsiTheme="minorHAnsi" w:cstheme="minorHAnsi"/>
    </w:rPr>
  </w:style>
  <w:style w:type="paragraph" w:styleId="TOC9">
    <w:name w:val="toc 9"/>
    <w:basedOn w:val="Normal"/>
    <w:next w:val="Normal"/>
    <w:autoRedefine/>
    <w:uiPriority w:val="39"/>
    <w:semiHidden/>
    <w:unhideWhenUsed/>
    <w:rsid w:val="00245469"/>
    <w:pPr>
      <w:ind w:left="1920"/>
    </w:pPr>
    <w:rPr>
      <w:rFonts w:asciiTheme="minorHAnsi" w:eastAsiaTheme="minorHAnsi" w:hAnsiTheme="minorHAnsi" w:cstheme="minorHAnsi"/>
    </w:rPr>
  </w:style>
  <w:style w:type="character" w:customStyle="1" w:styleId="Heading2Char">
    <w:name w:val="Heading 2 Char"/>
    <w:basedOn w:val="DefaultParagraphFont"/>
    <w:link w:val="Heading2"/>
    <w:uiPriority w:val="9"/>
    <w:rsid w:val="00245469"/>
    <w:rPr>
      <w:rFonts w:ascii="Arial" w:hAnsi="Arial" w:cs="Arial"/>
      <w:b/>
      <w:bCs/>
      <w:i/>
      <w:iCs/>
      <w:sz w:val="28"/>
      <w:szCs w:val="28"/>
    </w:rPr>
  </w:style>
  <w:style w:type="character" w:styleId="LineNumber">
    <w:name w:val="line number"/>
    <w:basedOn w:val="DefaultParagraphFont"/>
    <w:uiPriority w:val="99"/>
    <w:semiHidden/>
    <w:unhideWhenUsed/>
    <w:rsid w:val="00245469"/>
  </w:style>
  <w:style w:type="character" w:customStyle="1" w:styleId="citationsource-book">
    <w:name w:val="citation_source-book"/>
    <w:basedOn w:val="DefaultParagraphFont"/>
    <w:rsid w:val="00245469"/>
  </w:style>
  <w:style w:type="paragraph" w:customStyle="1" w:styleId="TableParagraph">
    <w:name w:val="Table Paragraph"/>
    <w:basedOn w:val="Normal"/>
    <w:uiPriority w:val="1"/>
    <w:qFormat/>
    <w:rsid w:val="001352A3"/>
    <w:pPr>
      <w:widowControl w:val="0"/>
      <w:autoSpaceDE w:val="0"/>
      <w:autoSpaceDN w:val="0"/>
    </w:pPr>
    <w:rPr>
      <w:sz w:val="22"/>
      <w:szCs w:val="22"/>
    </w:rPr>
  </w:style>
  <w:style w:type="paragraph" w:styleId="Bibliography">
    <w:name w:val="Bibliography"/>
    <w:basedOn w:val="Normal"/>
    <w:next w:val="Normal"/>
    <w:uiPriority w:val="37"/>
    <w:unhideWhenUsed/>
    <w:rsid w:val="001352A3"/>
    <w:pPr>
      <w:spacing w:after="160" w:line="259" w:lineRule="auto"/>
    </w:pPr>
    <w:rPr>
      <w:rFonts w:asciiTheme="minorHAnsi" w:eastAsiaTheme="minorEastAsia" w:hAnsiTheme="minorHAnsi" w:cstheme="minorBidi"/>
      <w:sz w:val="22"/>
      <w:szCs w:val="22"/>
    </w:rPr>
  </w:style>
  <w:style w:type="paragraph" w:customStyle="1" w:styleId="Authornames">
    <w:name w:val="Author names"/>
    <w:basedOn w:val="Normal"/>
    <w:next w:val="Normal"/>
    <w:qFormat/>
    <w:rsid w:val="001352A3"/>
    <w:pPr>
      <w:spacing w:before="240" w:line="360" w:lineRule="auto"/>
    </w:pPr>
    <w:rPr>
      <w:sz w:val="28"/>
      <w:szCs w:val="24"/>
      <w:lang w:val="en-GB" w:eastAsia="en-GB"/>
    </w:rPr>
  </w:style>
  <w:style w:type="paragraph" w:customStyle="1" w:styleId="Correspondencedetails">
    <w:name w:val="Correspondence details"/>
    <w:basedOn w:val="Normal"/>
    <w:qFormat/>
    <w:rsid w:val="001352A3"/>
    <w:pPr>
      <w:spacing w:before="240" w:line="360" w:lineRule="auto"/>
    </w:pPr>
    <w:rPr>
      <w:sz w:val="24"/>
      <w:szCs w:val="24"/>
      <w:lang w:val="en-GB" w:eastAsia="en-GB"/>
    </w:rPr>
  </w:style>
  <w:style w:type="paragraph" w:customStyle="1" w:styleId="Paragraph">
    <w:name w:val="Paragraph"/>
    <w:basedOn w:val="Normal"/>
    <w:next w:val="Newparagraph"/>
    <w:qFormat/>
    <w:rsid w:val="001352A3"/>
    <w:pPr>
      <w:widowControl w:val="0"/>
      <w:spacing w:before="240" w:line="480" w:lineRule="auto"/>
    </w:pPr>
    <w:rPr>
      <w:sz w:val="24"/>
      <w:szCs w:val="24"/>
      <w:lang w:val="en-GB" w:eastAsia="en-GB"/>
    </w:rPr>
  </w:style>
  <w:style w:type="paragraph" w:customStyle="1" w:styleId="Newparagraph">
    <w:name w:val="New paragraph"/>
    <w:basedOn w:val="Normal"/>
    <w:qFormat/>
    <w:rsid w:val="001352A3"/>
    <w:pPr>
      <w:spacing w:line="480" w:lineRule="auto"/>
      <w:ind w:firstLine="720"/>
    </w:pPr>
    <w:rPr>
      <w:sz w:val="24"/>
      <w:szCs w:val="24"/>
      <w:lang w:val="en-GB" w:eastAsia="en-GB"/>
    </w:rPr>
  </w:style>
  <w:style w:type="table" w:styleId="ListTable1Light">
    <w:name w:val="List Table 1 Light"/>
    <w:basedOn w:val="TableNormal"/>
    <w:uiPriority w:val="46"/>
    <w:rsid w:val="000A094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0A094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link w:val="ListParagraph"/>
    <w:uiPriority w:val="34"/>
    <w:qFormat/>
    <w:rsid w:val="00303C64"/>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838">
      <w:bodyDiv w:val="1"/>
      <w:marLeft w:val="0"/>
      <w:marRight w:val="0"/>
      <w:marTop w:val="0"/>
      <w:marBottom w:val="0"/>
      <w:divBdr>
        <w:top w:val="none" w:sz="0" w:space="0" w:color="auto"/>
        <w:left w:val="none" w:sz="0" w:space="0" w:color="auto"/>
        <w:bottom w:val="none" w:sz="0" w:space="0" w:color="auto"/>
        <w:right w:val="none" w:sz="0" w:space="0" w:color="auto"/>
      </w:divBdr>
    </w:div>
    <w:div w:id="42948069">
      <w:bodyDiv w:val="1"/>
      <w:marLeft w:val="0"/>
      <w:marRight w:val="0"/>
      <w:marTop w:val="0"/>
      <w:marBottom w:val="0"/>
      <w:divBdr>
        <w:top w:val="none" w:sz="0" w:space="0" w:color="auto"/>
        <w:left w:val="none" w:sz="0" w:space="0" w:color="auto"/>
        <w:bottom w:val="none" w:sz="0" w:space="0" w:color="auto"/>
        <w:right w:val="none" w:sz="0" w:space="0" w:color="auto"/>
      </w:divBdr>
    </w:div>
    <w:div w:id="56444501">
      <w:bodyDiv w:val="1"/>
      <w:marLeft w:val="0"/>
      <w:marRight w:val="0"/>
      <w:marTop w:val="0"/>
      <w:marBottom w:val="0"/>
      <w:divBdr>
        <w:top w:val="none" w:sz="0" w:space="0" w:color="auto"/>
        <w:left w:val="none" w:sz="0" w:space="0" w:color="auto"/>
        <w:bottom w:val="none" w:sz="0" w:space="0" w:color="auto"/>
        <w:right w:val="none" w:sz="0" w:space="0" w:color="auto"/>
      </w:divBdr>
    </w:div>
    <w:div w:id="81993532">
      <w:bodyDiv w:val="1"/>
      <w:marLeft w:val="0"/>
      <w:marRight w:val="0"/>
      <w:marTop w:val="0"/>
      <w:marBottom w:val="0"/>
      <w:divBdr>
        <w:top w:val="none" w:sz="0" w:space="0" w:color="auto"/>
        <w:left w:val="none" w:sz="0" w:space="0" w:color="auto"/>
        <w:bottom w:val="none" w:sz="0" w:space="0" w:color="auto"/>
        <w:right w:val="none" w:sz="0" w:space="0" w:color="auto"/>
      </w:divBdr>
    </w:div>
    <w:div w:id="13225451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1478398">
      <w:bodyDiv w:val="1"/>
      <w:marLeft w:val="0"/>
      <w:marRight w:val="0"/>
      <w:marTop w:val="0"/>
      <w:marBottom w:val="0"/>
      <w:divBdr>
        <w:top w:val="none" w:sz="0" w:space="0" w:color="auto"/>
        <w:left w:val="none" w:sz="0" w:space="0" w:color="auto"/>
        <w:bottom w:val="none" w:sz="0" w:space="0" w:color="auto"/>
        <w:right w:val="none" w:sz="0" w:space="0" w:color="auto"/>
      </w:divBdr>
    </w:div>
    <w:div w:id="206990270">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240603908">
      <w:bodyDiv w:val="1"/>
      <w:marLeft w:val="0"/>
      <w:marRight w:val="0"/>
      <w:marTop w:val="0"/>
      <w:marBottom w:val="0"/>
      <w:divBdr>
        <w:top w:val="none" w:sz="0" w:space="0" w:color="auto"/>
        <w:left w:val="none" w:sz="0" w:space="0" w:color="auto"/>
        <w:bottom w:val="none" w:sz="0" w:space="0" w:color="auto"/>
        <w:right w:val="none" w:sz="0" w:space="0" w:color="auto"/>
      </w:divBdr>
    </w:div>
    <w:div w:id="288782813">
      <w:bodyDiv w:val="1"/>
      <w:marLeft w:val="0"/>
      <w:marRight w:val="0"/>
      <w:marTop w:val="0"/>
      <w:marBottom w:val="0"/>
      <w:divBdr>
        <w:top w:val="none" w:sz="0" w:space="0" w:color="auto"/>
        <w:left w:val="none" w:sz="0" w:space="0" w:color="auto"/>
        <w:bottom w:val="none" w:sz="0" w:space="0" w:color="auto"/>
        <w:right w:val="none" w:sz="0" w:space="0" w:color="auto"/>
      </w:divBdr>
    </w:div>
    <w:div w:id="308095137">
      <w:bodyDiv w:val="1"/>
      <w:marLeft w:val="0"/>
      <w:marRight w:val="0"/>
      <w:marTop w:val="0"/>
      <w:marBottom w:val="0"/>
      <w:divBdr>
        <w:top w:val="none" w:sz="0" w:space="0" w:color="auto"/>
        <w:left w:val="none" w:sz="0" w:space="0" w:color="auto"/>
        <w:bottom w:val="none" w:sz="0" w:space="0" w:color="auto"/>
        <w:right w:val="none" w:sz="0" w:space="0" w:color="auto"/>
      </w:divBdr>
    </w:div>
    <w:div w:id="41872249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63315953">
      <w:bodyDiv w:val="1"/>
      <w:marLeft w:val="0"/>
      <w:marRight w:val="0"/>
      <w:marTop w:val="0"/>
      <w:marBottom w:val="0"/>
      <w:divBdr>
        <w:top w:val="none" w:sz="0" w:space="0" w:color="auto"/>
        <w:left w:val="none" w:sz="0" w:space="0" w:color="auto"/>
        <w:bottom w:val="none" w:sz="0" w:space="0" w:color="auto"/>
        <w:right w:val="none" w:sz="0" w:space="0" w:color="auto"/>
      </w:divBdr>
    </w:div>
    <w:div w:id="682245465">
      <w:bodyDiv w:val="1"/>
      <w:marLeft w:val="0"/>
      <w:marRight w:val="0"/>
      <w:marTop w:val="0"/>
      <w:marBottom w:val="0"/>
      <w:divBdr>
        <w:top w:val="none" w:sz="0" w:space="0" w:color="auto"/>
        <w:left w:val="none" w:sz="0" w:space="0" w:color="auto"/>
        <w:bottom w:val="none" w:sz="0" w:space="0" w:color="auto"/>
        <w:right w:val="none" w:sz="0" w:space="0" w:color="auto"/>
      </w:divBdr>
    </w:div>
    <w:div w:id="712189891">
      <w:bodyDiv w:val="1"/>
      <w:marLeft w:val="0"/>
      <w:marRight w:val="0"/>
      <w:marTop w:val="0"/>
      <w:marBottom w:val="0"/>
      <w:divBdr>
        <w:top w:val="none" w:sz="0" w:space="0" w:color="auto"/>
        <w:left w:val="none" w:sz="0" w:space="0" w:color="auto"/>
        <w:bottom w:val="none" w:sz="0" w:space="0" w:color="auto"/>
        <w:right w:val="none" w:sz="0" w:space="0" w:color="auto"/>
      </w:divBdr>
    </w:div>
    <w:div w:id="733820358">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7453779">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5384904">
      <w:bodyDiv w:val="1"/>
      <w:marLeft w:val="0"/>
      <w:marRight w:val="0"/>
      <w:marTop w:val="0"/>
      <w:marBottom w:val="0"/>
      <w:divBdr>
        <w:top w:val="none" w:sz="0" w:space="0" w:color="auto"/>
        <w:left w:val="none" w:sz="0" w:space="0" w:color="auto"/>
        <w:bottom w:val="none" w:sz="0" w:space="0" w:color="auto"/>
        <w:right w:val="none" w:sz="0" w:space="0" w:color="auto"/>
      </w:divBdr>
    </w:div>
    <w:div w:id="902763714">
      <w:bodyDiv w:val="1"/>
      <w:marLeft w:val="0"/>
      <w:marRight w:val="0"/>
      <w:marTop w:val="0"/>
      <w:marBottom w:val="0"/>
      <w:divBdr>
        <w:top w:val="none" w:sz="0" w:space="0" w:color="auto"/>
        <w:left w:val="none" w:sz="0" w:space="0" w:color="auto"/>
        <w:bottom w:val="none" w:sz="0" w:space="0" w:color="auto"/>
        <w:right w:val="none" w:sz="0" w:space="0" w:color="auto"/>
      </w:divBdr>
    </w:div>
    <w:div w:id="964309331">
      <w:bodyDiv w:val="1"/>
      <w:marLeft w:val="0"/>
      <w:marRight w:val="0"/>
      <w:marTop w:val="0"/>
      <w:marBottom w:val="0"/>
      <w:divBdr>
        <w:top w:val="none" w:sz="0" w:space="0" w:color="auto"/>
        <w:left w:val="none" w:sz="0" w:space="0" w:color="auto"/>
        <w:bottom w:val="none" w:sz="0" w:space="0" w:color="auto"/>
        <w:right w:val="none" w:sz="0" w:space="0" w:color="auto"/>
      </w:divBdr>
    </w:div>
    <w:div w:id="1139108472">
      <w:bodyDiv w:val="1"/>
      <w:marLeft w:val="0"/>
      <w:marRight w:val="0"/>
      <w:marTop w:val="0"/>
      <w:marBottom w:val="0"/>
      <w:divBdr>
        <w:top w:val="none" w:sz="0" w:space="0" w:color="auto"/>
        <w:left w:val="none" w:sz="0" w:space="0" w:color="auto"/>
        <w:bottom w:val="none" w:sz="0" w:space="0" w:color="auto"/>
        <w:right w:val="none" w:sz="0" w:space="0" w:color="auto"/>
      </w:divBdr>
    </w:div>
    <w:div w:id="1201282177">
      <w:bodyDiv w:val="1"/>
      <w:marLeft w:val="0"/>
      <w:marRight w:val="0"/>
      <w:marTop w:val="0"/>
      <w:marBottom w:val="0"/>
      <w:divBdr>
        <w:top w:val="none" w:sz="0" w:space="0" w:color="auto"/>
        <w:left w:val="none" w:sz="0" w:space="0" w:color="auto"/>
        <w:bottom w:val="none" w:sz="0" w:space="0" w:color="auto"/>
        <w:right w:val="none" w:sz="0" w:space="0" w:color="auto"/>
      </w:divBdr>
    </w:div>
    <w:div w:id="1210146447">
      <w:bodyDiv w:val="1"/>
      <w:marLeft w:val="0"/>
      <w:marRight w:val="0"/>
      <w:marTop w:val="0"/>
      <w:marBottom w:val="0"/>
      <w:divBdr>
        <w:top w:val="none" w:sz="0" w:space="0" w:color="auto"/>
        <w:left w:val="none" w:sz="0" w:space="0" w:color="auto"/>
        <w:bottom w:val="none" w:sz="0" w:space="0" w:color="auto"/>
        <w:right w:val="none" w:sz="0" w:space="0" w:color="auto"/>
      </w:divBdr>
    </w:div>
    <w:div w:id="1214075776">
      <w:bodyDiv w:val="1"/>
      <w:marLeft w:val="0"/>
      <w:marRight w:val="0"/>
      <w:marTop w:val="0"/>
      <w:marBottom w:val="0"/>
      <w:divBdr>
        <w:top w:val="none" w:sz="0" w:space="0" w:color="auto"/>
        <w:left w:val="none" w:sz="0" w:space="0" w:color="auto"/>
        <w:bottom w:val="none" w:sz="0" w:space="0" w:color="auto"/>
        <w:right w:val="none" w:sz="0" w:space="0" w:color="auto"/>
      </w:divBdr>
    </w:div>
    <w:div w:id="1281960589">
      <w:bodyDiv w:val="1"/>
      <w:marLeft w:val="0"/>
      <w:marRight w:val="0"/>
      <w:marTop w:val="0"/>
      <w:marBottom w:val="0"/>
      <w:divBdr>
        <w:top w:val="none" w:sz="0" w:space="0" w:color="auto"/>
        <w:left w:val="none" w:sz="0" w:space="0" w:color="auto"/>
        <w:bottom w:val="none" w:sz="0" w:space="0" w:color="auto"/>
        <w:right w:val="none" w:sz="0" w:space="0" w:color="auto"/>
      </w:divBdr>
    </w:div>
    <w:div w:id="1306815851">
      <w:bodyDiv w:val="1"/>
      <w:marLeft w:val="0"/>
      <w:marRight w:val="0"/>
      <w:marTop w:val="0"/>
      <w:marBottom w:val="0"/>
      <w:divBdr>
        <w:top w:val="none" w:sz="0" w:space="0" w:color="auto"/>
        <w:left w:val="none" w:sz="0" w:space="0" w:color="auto"/>
        <w:bottom w:val="none" w:sz="0" w:space="0" w:color="auto"/>
        <w:right w:val="none" w:sz="0" w:space="0" w:color="auto"/>
      </w:divBdr>
    </w:div>
    <w:div w:id="1351222433">
      <w:bodyDiv w:val="1"/>
      <w:marLeft w:val="0"/>
      <w:marRight w:val="0"/>
      <w:marTop w:val="0"/>
      <w:marBottom w:val="0"/>
      <w:divBdr>
        <w:top w:val="none" w:sz="0" w:space="0" w:color="auto"/>
        <w:left w:val="none" w:sz="0" w:space="0" w:color="auto"/>
        <w:bottom w:val="none" w:sz="0" w:space="0" w:color="auto"/>
        <w:right w:val="none" w:sz="0" w:space="0" w:color="auto"/>
      </w:divBdr>
    </w:div>
    <w:div w:id="1372420748">
      <w:bodyDiv w:val="1"/>
      <w:marLeft w:val="0"/>
      <w:marRight w:val="0"/>
      <w:marTop w:val="0"/>
      <w:marBottom w:val="0"/>
      <w:divBdr>
        <w:top w:val="none" w:sz="0" w:space="0" w:color="auto"/>
        <w:left w:val="none" w:sz="0" w:space="0" w:color="auto"/>
        <w:bottom w:val="none" w:sz="0" w:space="0" w:color="auto"/>
        <w:right w:val="none" w:sz="0" w:space="0" w:color="auto"/>
      </w:divBdr>
    </w:div>
    <w:div w:id="1388843503">
      <w:bodyDiv w:val="1"/>
      <w:marLeft w:val="0"/>
      <w:marRight w:val="0"/>
      <w:marTop w:val="0"/>
      <w:marBottom w:val="0"/>
      <w:divBdr>
        <w:top w:val="none" w:sz="0" w:space="0" w:color="auto"/>
        <w:left w:val="none" w:sz="0" w:space="0" w:color="auto"/>
        <w:bottom w:val="none" w:sz="0" w:space="0" w:color="auto"/>
        <w:right w:val="none" w:sz="0" w:space="0" w:color="auto"/>
      </w:divBdr>
    </w:div>
    <w:div w:id="139323724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50775996">
      <w:bodyDiv w:val="1"/>
      <w:marLeft w:val="0"/>
      <w:marRight w:val="0"/>
      <w:marTop w:val="0"/>
      <w:marBottom w:val="0"/>
      <w:divBdr>
        <w:top w:val="none" w:sz="0" w:space="0" w:color="auto"/>
        <w:left w:val="none" w:sz="0" w:space="0" w:color="auto"/>
        <w:bottom w:val="none" w:sz="0" w:space="0" w:color="auto"/>
        <w:right w:val="none" w:sz="0" w:space="0" w:color="auto"/>
      </w:divBdr>
    </w:div>
    <w:div w:id="1530021890">
      <w:bodyDiv w:val="1"/>
      <w:marLeft w:val="0"/>
      <w:marRight w:val="0"/>
      <w:marTop w:val="0"/>
      <w:marBottom w:val="0"/>
      <w:divBdr>
        <w:top w:val="none" w:sz="0" w:space="0" w:color="auto"/>
        <w:left w:val="none" w:sz="0" w:space="0" w:color="auto"/>
        <w:bottom w:val="none" w:sz="0" w:space="0" w:color="auto"/>
        <w:right w:val="none" w:sz="0" w:space="0" w:color="auto"/>
      </w:divBdr>
    </w:div>
    <w:div w:id="1534879309">
      <w:bodyDiv w:val="1"/>
      <w:marLeft w:val="0"/>
      <w:marRight w:val="0"/>
      <w:marTop w:val="0"/>
      <w:marBottom w:val="0"/>
      <w:divBdr>
        <w:top w:val="none" w:sz="0" w:space="0" w:color="auto"/>
        <w:left w:val="none" w:sz="0" w:space="0" w:color="auto"/>
        <w:bottom w:val="none" w:sz="0" w:space="0" w:color="auto"/>
        <w:right w:val="none" w:sz="0" w:space="0" w:color="auto"/>
      </w:divBdr>
    </w:div>
    <w:div w:id="1549102821">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96150215">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55854365">
      <w:bodyDiv w:val="1"/>
      <w:marLeft w:val="0"/>
      <w:marRight w:val="0"/>
      <w:marTop w:val="0"/>
      <w:marBottom w:val="0"/>
      <w:divBdr>
        <w:top w:val="none" w:sz="0" w:space="0" w:color="auto"/>
        <w:left w:val="none" w:sz="0" w:space="0" w:color="auto"/>
        <w:bottom w:val="none" w:sz="0" w:space="0" w:color="auto"/>
        <w:right w:val="none" w:sz="0" w:space="0" w:color="auto"/>
      </w:divBdr>
    </w:div>
    <w:div w:id="1792938422">
      <w:bodyDiv w:val="1"/>
      <w:marLeft w:val="0"/>
      <w:marRight w:val="0"/>
      <w:marTop w:val="0"/>
      <w:marBottom w:val="0"/>
      <w:divBdr>
        <w:top w:val="none" w:sz="0" w:space="0" w:color="auto"/>
        <w:left w:val="none" w:sz="0" w:space="0" w:color="auto"/>
        <w:bottom w:val="none" w:sz="0" w:space="0" w:color="auto"/>
        <w:right w:val="none" w:sz="0" w:space="0" w:color="auto"/>
      </w:divBdr>
    </w:div>
    <w:div w:id="1817837705">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37528173">
      <w:bodyDiv w:val="1"/>
      <w:marLeft w:val="0"/>
      <w:marRight w:val="0"/>
      <w:marTop w:val="0"/>
      <w:marBottom w:val="0"/>
      <w:divBdr>
        <w:top w:val="none" w:sz="0" w:space="0" w:color="auto"/>
        <w:left w:val="none" w:sz="0" w:space="0" w:color="auto"/>
        <w:bottom w:val="none" w:sz="0" w:space="0" w:color="auto"/>
        <w:right w:val="none" w:sz="0" w:space="0" w:color="auto"/>
      </w:divBdr>
    </w:div>
    <w:div w:id="1910533591">
      <w:bodyDiv w:val="1"/>
      <w:marLeft w:val="0"/>
      <w:marRight w:val="0"/>
      <w:marTop w:val="0"/>
      <w:marBottom w:val="0"/>
      <w:divBdr>
        <w:top w:val="none" w:sz="0" w:space="0" w:color="auto"/>
        <w:left w:val="none" w:sz="0" w:space="0" w:color="auto"/>
        <w:bottom w:val="none" w:sz="0" w:space="0" w:color="auto"/>
        <w:right w:val="none" w:sz="0" w:space="0" w:color="auto"/>
      </w:divBdr>
    </w:div>
    <w:div w:id="1926725047">
      <w:bodyDiv w:val="1"/>
      <w:marLeft w:val="0"/>
      <w:marRight w:val="0"/>
      <w:marTop w:val="0"/>
      <w:marBottom w:val="0"/>
      <w:divBdr>
        <w:top w:val="none" w:sz="0" w:space="0" w:color="auto"/>
        <w:left w:val="none" w:sz="0" w:space="0" w:color="auto"/>
        <w:bottom w:val="none" w:sz="0" w:space="0" w:color="auto"/>
        <w:right w:val="none" w:sz="0" w:space="0" w:color="auto"/>
      </w:divBdr>
    </w:div>
    <w:div w:id="1926987315">
      <w:bodyDiv w:val="1"/>
      <w:marLeft w:val="0"/>
      <w:marRight w:val="0"/>
      <w:marTop w:val="0"/>
      <w:marBottom w:val="0"/>
      <w:divBdr>
        <w:top w:val="none" w:sz="0" w:space="0" w:color="auto"/>
        <w:left w:val="none" w:sz="0" w:space="0" w:color="auto"/>
        <w:bottom w:val="none" w:sz="0" w:space="0" w:color="auto"/>
        <w:right w:val="none" w:sz="0" w:space="0" w:color="auto"/>
      </w:divBdr>
    </w:div>
    <w:div w:id="1975865820">
      <w:bodyDiv w:val="1"/>
      <w:marLeft w:val="0"/>
      <w:marRight w:val="0"/>
      <w:marTop w:val="0"/>
      <w:marBottom w:val="0"/>
      <w:divBdr>
        <w:top w:val="none" w:sz="0" w:space="0" w:color="auto"/>
        <w:left w:val="none" w:sz="0" w:space="0" w:color="auto"/>
        <w:bottom w:val="none" w:sz="0" w:space="0" w:color="auto"/>
        <w:right w:val="none" w:sz="0" w:space="0" w:color="auto"/>
      </w:divBdr>
    </w:div>
    <w:div w:id="198253903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59358323">
      <w:bodyDiv w:val="1"/>
      <w:marLeft w:val="0"/>
      <w:marRight w:val="0"/>
      <w:marTop w:val="0"/>
      <w:marBottom w:val="0"/>
      <w:divBdr>
        <w:top w:val="none" w:sz="0" w:space="0" w:color="auto"/>
        <w:left w:val="none" w:sz="0" w:space="0" w:color="auto"/>
        <w:bottom w:val="none" w:sz="0" w:space="0" w:color="auto"/>
        <w:right w:val="none" w:sz="0" w:space="0" w:color="auto"/>
      </w:divBdr>
    </w:div>
    <w:div w:id="21404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5388-2356" TargetMode="External"/><Relationship Id="rId18" Type="http://schemas.openxmlformats.org/officeDocument/2006/relationships/hyperlink" Target="mailto:fatoni@unm.ac.id" TargetMode="External"/><Relationship Id="rId26" Type="http://schemas.openxmlformats.org/officeDocument/2006/relationships/hyperlink" Target="https://doi.org/10.3390/genes13101798" TargetMode="External"/><Relationship Id="rId39" Type="http://schemas.openxmlformats.org/officeDocument/2006/relationships/hyperlink" Target="https://doi.org/10.1080/17461391.2018.1532532" TargetMode="External"/><Relationship Id="rId21" Type="http://schemas.openxmlformats.org/officeDocument/2006/relationships/hyperlink" Target="https://doi.org/10.3390/medicina61030527" TargetMode="External"/><Relationship Id="rId34" Type="http://schemas.openxmlformats.org/officeDocument/2006/relationships/hyperlink" Target="https://doi.org/10.3390/ijerph18073443" TargetMode="External"/><Relationship Id="rId42" Type="http://schemas.openxmlformats.org/officeDocument/2006/relationships/hyperlink" Target="https://doi.org/10.3389/fcvm.2021.734278"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hasbi.asyhari@unm.ac.id" TargetMode="External"/><Relationship Id="rId29" Type="http://schemas.openxmlformats.org/officeDocument/2006/relationships/hyperlink" Target="https://doi.org/10.33846/hn30306" TargetMode="External"/><Relationship Id="rId11" Type="http://schemas.openxmlformats.org/officeDocument/2006/relationships/hyperlink" Target="https://orcid.org/0009-0009-5984-7920" TargetMode="External"/><Relationship Id="rId24" Type="http://schemas.openxmlformats.org/officeDocument/2006/relationships/hyperlink" Target="https://doi.org/10.3389/fphys.2025.1519240" TargetMode="External"/><Relationship Id="rId32" Type="http://schemas.openxmlformats.org/officeDocument/2006/relationships/hyperlink" Target="https://doi.org/10.3390/ijerph192114439" TargetMode="External"/><Relationship Id="rId37" Type="http://schemas.openxmlformats.org/officeDocument/2006/relationships/hyperlink" Target="https://doi.org/10.2340/jrm.v57.43359" TargetMode="External"/><Relationship Id="rId40" Type="http://schemas.openxmlformats.org/officeDocument/2006/relationships/hyperlink" Target="https://doi.org/10.1111/ane.13041"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kamal212@unm.ac.id" TargetMode="External"/><Relationship Id="rId23" Type="http://schemas.openxmlformats.org/officeDocument/2006/relationships/hyperlink" Target="https://doi.org/10.1007/s00421-023-05340-y" TargetMode="External"/><Relationship Id="rId28" Type="http://schemas.openxmlformats.org/officeDocument/2006/relationships/hyperlink" Target="https://doi.org/10.1101/2025.01.20.633833" TargetMode="External"/><Relationship Id="rId36" Type="http://schemas.openxmlformats.org/officeDocument/2006/relationships/hyperlink" Target="https://doi.org/10.1186/s13102-024-00828-2" TargetMode="External"/><Relationship Id="rId49" Type="http://schemas.openxmlformats.org/officeDocument/2006/relationships/header" Target="header3.xml"/><Relationship Id="rId10" Type="http://schemas.openxmlformats.org/officeDocument/2006/relationships/image" Target="media/image2.svg"/><Relationship Id="rId19" Type="http://schemas.openxmlformats.org/officeDocument/2006/relationships/hyperlink" Target="https://doi.org/10.1177/1470320318761725" TargetMode="External"/><Relationship Id="rId31" Type="http://schemas.openxmlformats.org/officeDocument/2006/relationships/hyperlink" Target="https://doi.org/10.22271/kheljournal.2023.v10.i1e.3316" TargetMode="External"/><Relationship Id="rId44" Type="http://schemas.openxmlformats.org/officeDocument/2006/relationships/image" Target="media/image3.jpe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fatoni@unm.ac.id" TargetMode="External"/><Relationship Id="rId22" Type="http://schemas.openxmlformats.org/officeDocument/2006/relationships/hyperlink" Target="https://doi.org/10.3390/nu16223943" TargetMode="External"/><Relationship Id="rId27" Type="http://schemas.openxmlformats.org/officeDocument/2006/relationships/hyperlink" Target="https://doi.org/10.3390/genes14051100" TargetMode="External"/><Relationship Id="rId30" Type="http://schemas.openxmlformats.org/officeDocument/2006/relationships/hyperlink" Target="https://doi.org/10.1097/MD.0000000000027384" TargetMode="External"/><Relationship Id="rId35" Type="http://schemas.openxmlformats.org/officeDocument/2006/relationships/hyperlink" Target="https://doi.org/10.1186/s13102-021-00358-1" TargetMode="External"/><Relationship Id="rId43" Type="http://schemas.openxmlformats.org/officeDocument/2006/relationships/hyperlink" Target="https://doi.org/10.3389/fphys.2017.00993" TargetMode="External"/><Relationship Id="rId48" Type="http://schemas.openxmlformats.org/officeDocument/2006/relationships/footer" Target="footer2.xml"/><Relationship Id="rId8" Type="http://schemas.openxmlformats.org/officeDocument/2006/relationships/hyperlink" Target="https://orcid.org/0009-0002-4593-3982"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orcid.org/0009-0005-1447-9184" TargetMode="External"/><Relationship Id="rId17" Type="http://schemas.openxmlformats.org/officeDocument/2006/relationships/hyperlink" Target="mailto:juhanis@unm.ac.id" TargetMode="External"/><Relationship Id="rId25" Type="http://schemas.openxmlformats.org/officeDocument/2006/relationships/hyperlink" Target="https://doi.org/10.1038/s41598-019-56263-8" TargetMode="External"/><Relationship Id="rId33" Type="http://schemas.openxmlformats.org/officeDocument/2006/relationships/hyperlink" Target="https://doi.org/10.3390/jfmk10040365" TargetMode="External"/><Relationship Id="rId38" Type="http://schemas.openxmlformats.org/officeDocument/2006/relationships/hyperlink" Target="https://doi.org/10.3390/medicina61010098" TargetMode="External"/><Relationship Id="rId46" Type="http://schemas.openxmlformats.org/officeDocument/2006/relationships/header" Target="header2.xml"/><Relationship Id="rId20" Type="http://schemas.openxmlformats.org/officeDocument/2006/relationships/hyperlink" Target="https://doi.org/10.3390/ijerph20021292" TargetMode="External"/><Relationship Id="rId41" Type="http://schemas.openxmlformats.org/officeDocument/2006/relationships/hyperlink" Target="https://doi.org/10.21203/rs.3.rs-3006317/v1"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gjses.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gjses.org"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63750/nkztte44%2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63750/bjbtxz38%20" TargetMode="External"/><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Bri23</b:Tag>
    <b:SourceType>InternetSite</b:SourceType>
    <b:Guid>{F284D9A3-2397-4644-A065-C3394023492D}</b:Guid>
    <b:Title>Rugby League World Cup</b:Title>
    <b:Year>2023</b:Year>
    <b:Author>
      <b:Author>
        <b:NameList>
          <b:Person>
            <b:Last>Britannica</b:Last>
          </b:Person>
        </b:NameList>
      </b:Author>
    </b:Author>
    <b:InternetSiteTitle>Britannica</b:InternetSiteTitle>
    <b:Month>October</b:Month>
    <b:Day>17</b:Day>
    <b:URL>https://www.britannica.com/sports/Rugby-League-World-Cup</b:URL>
    <b:RefOrder>1</b:RefOrder>
  </b:Source>
  <b:Source>
    <b:Tag>Wal21</b:Tag>
    <b:SourceType>InternetSite</b:SourceType>
    <b:Guid>{A294BE37-2BE7-4606-B12C-F18DB22768DD}</b:Guid>
    <b:Author>
      <b:Author>
        <b:NameList>
          <b:Person>
            <b:Last>Walter</b:Last>
            <b:First>Brad</b:First>
          </b:Person>
        </b:NameList>
      </b:Author>
    </b:Author>
    <b:Title>Explainer: What broadcast deal means for the game</b:Title>
    <b:InternetSiteTitle>National Rugby League</b:InternetSiteTitle>
    <b:Year>2021</b:Year>
    <b:Month>December</b:Month>
    <b:Day>21</b:Day>
    <b:URL>https://www.nrl.com/news/2021/12/21/explainer-what-broadcast-deal-means-for-the-game/</b:URL>
    <b:RefOrder>2</b:RefOrder>
  </b:Source>
  <b:Source>
    <b:Tag>Rug23</b:Tag>
    <b:SourceType>InternetSite</b:SourceType>
    <b:Guid>{4F4EC8DC-DBB2-4F5D-BAB1-9A28D6AE3966}</b:Guid>
    <b:Author>
      <b:Author>
        <b:NameList>
          <b:Person>
            <b:Last>Project</b:Last>
            <b:First>Rugby</b:First>
            <b:Middle>League</b:Middle>
          </b:Person>
        </b:NameList>
      </b:Author>
    </b:Author>
    <b:Title>State of Origin</b:Title>
    <b:InternetSiteTitle>Rugby League Project </b:InternetSiteTitle>
    <b:Year>2023 </b:Year>
    <b:Month>November</b:Month>
    <b:Day>6</b:Day>
    <b:URL>https://www.rugbyleagueproject.org/competitions/state-of-origin/players.html</b:URL>
    <b:RefOrder>4</b:RefOrder>
  </b:Source>
  <b:Source>
    <b:Tag>Lea21</b:Tag>
    <b:SourceType>InternetSite</b:SourceType>
    <b:Guid>{11878918-D7D2-476A-975F-CB898D42F7A4}</b:Guid>
    <b:Author>
      <b:Author>
        <b:NameList>
          <b:Person>
            <b:Last>League</b:Last>
            <b:First>Australian</b:First>
            <b:Middle>Secondary Schools Rugby</b:Middle>
          </b:Person>
        </b:NameList>
      </b:Author>
    </b:Author>
    <b:Title>Australian Schoolboys Representative sides since 1972 up to 2021</b:Title>
    <b:InternetSiteTitle>Australian Secondary Schools Rugby League</b:InternetSiteTitle>
    <b:Year>2021</b:Year>
    <b:Month>December</b:Month>
    <b:URL>https://assrl.files.wordpress.com/2022/06/australian-schoolboy-teams-1972-2021.pdf</b:URL>
    <b:RefOrder>5</b:RefOrder>
  </b:Source>
  <b:Source>
    <b:Tag>Cat45</b:Tag>
    <b:SourceType>JournalArticle</b:SourceType>
    <b:Guid>{EE33ABD9-7681-4CA8-9F6D-B7F78478F280}</b:Guid>
    <b:Title>The Description of Personality: Principles and Findings in a Factor Analysis</b:Title>
    <b:Year>1945</b:Year>
    <b:Month>January</b:Month>
    <b:Author>
      <b:Author>
        <b:NameList>
          <b:Person>
            <b:Last>Cattell</b:Last>
            <b:First>Raymond</b:First>
            <b:Middle>B</b:Middle>
          </b:Person>
        </b:NameList>
      </b:Author>
    </b:Author>
    <b:JournalName>The American Journal of Psychology</b:JournalName>
    <b:Pages>69-90</b:Pages>
    <b:Publisher>University of Illinois Press</b:Publisher>
    <b:Volume>58</b:Volume>
    <b:Issue>1</b:Issue>
    <b:RefOrder>3</b:RefOrder>
  </b:Source>
  <b:Source>
    <b:Tag>Cat57</b:Tag>
    <b:SourceType>JournalArticle</b:SourceType>
    <b:Guid>{07C8195A-6D82-4C6C-BD2A-1148AFA80D79}</b:Guid>
    <b:Author>
      <b:Author>
        <b:NameList>
          <b:Person>
            <b:Last>Cattell</b:Last>
            <b:First>Raymond</b:First>
            <b:Middle>B</b:Middle>
          </b:Person>
        </b:NameList>
      </b:Author>
    </b:Author>
    <b:Title>A Universal Index for Psychological Factors</b:Title>
    <b:JournalName>Psychologia</b:JournalName>
    <b:Year>1957</b:Year>
    <b:Pages>74-85</b:Pages>
    <b:RefOrder>6</b:RefOrder>
  </b:Source>
</b:Sources>
</file>

<file path=customXml/itemProps1.xml><?xml version="1.0" encoding="utf-8"?>
<ds:datastoreItem xmlns:ds="http://schemas.openxmlformats.org/officeDocument/2006/customXml" ds:itemID="{D20A633F-4202-4298-B1EE-A00C5032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1</Pages>
  <Words>8814</Words>
  <Characters>50241</Characters>
  <Application>Microsoft Office Word</Application>
  <DocSecurity>0</DocSecurity>
  <Lines>418</Lines>
  <Paragraphs>117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gjses.org</vt:lpstr>
      <vt:lpstr>Indonesian Journal of Electrical Engineering and Computer Science</vt:lpstr>
    </vt:vector>
  </TitlesOfParts>
  <Company>Global Journal of Sport and Exercise Science (GJSES)</Company>
  <LinksUpToDate>false</LinksUpToDate>
  <CharactersWithSpaces>58938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gjses.org</dc:title>
  <dc:creator>Dr. ALI AL-ZAKHOLI</dc:creator>
  <cp:keywords>applied computing &amp; computer; electrical (power); electronics engineering; instrumentation &amp; control; telecommunication &amp; information technology;</cp:keywords>
  <dc:description>IJEECS Template and Guide of Authors</dc:description>
  <cp:lastModifiedBy>ALI AL-ZAKHOLI</cp:lastModifiedBy>
  <cp:revision>113</cp:revision>
  <cp:lastPrinted>2025-10-24T14:17:00Z</cp:lastPrinted>
  <dcterms:created xsi:type="dcterms:W3CDTF">2024-07-28T14:40:00Z</dcterms:created>
  <dcterms:modified xsi:type="dcterms:W3CDTF">2026-05-29T20:40:00Z</dcterms:modified>
  <cp:category/>
</cp:coreProperties>
</file>